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D5DFA" w14:textId="308B69DF" w:rsidR="00A72DD3" w:rsidRPr="00B3144D" w:rsidRDefault="00A72DD3" w:rsidP="009929E6">
      <w:pPr>
        <w:pBdr>
          <w:top w:val="single" w:sz="4" w:space="1" w:color="auto"/>
        </w:pBdr>
        <w:tabs>
          <w:tab w:val="center" w:pos="4320"/>
        </w:tabs>
        <w:rPr>
          <w:b/>
        </w:rPr>
      </w:pPr>
      <w:r w:rsidRPr="00B3144D">
        <w:rPr>
          <w:b/>
          <w:color w:val="000000"/>
        </w:rPr>
        <w:t>Hea LEADER projektitoetuse saaja</w:t>
      </w:r>
      <w:r w:rsidR="003C2941">
        <w:rPr>
          <w:b/>
          <w:color w:val="000000"/>
        </w:rPr>
        <w:t xml:space="preserve"> (taotlusvoor 2021)</w:t>
      </w:r>
    </w:p>
    <w:p w14:paraId="5DAB6C7B" w14:textId="77777777" w:rsidR="00A72DD3" w:rsidRPr="00B3144D" w:rsidRDefault="00A72DD3">
      <w:pPr>
        <w:tabs>
          <w:tab w:val="center" w:pos="4320"/>
        </w:tabs>
        <w:rPr>
          <w:b/>
          <w:color w:val="000000"/>
        </w:rPr>
      </w:pPr>
    </w:p>
    <w:p w14:paraId="37B5866A" w14:textId="6526F69D" w:rsidR="00A95A85" w:rsidRPr="00B3144D" w:rsidRDefault="084C6E16" w:rsidP="00A95A85">
      <w:pPr>
        <w:jc w:val="both"/>
      </w:pPr>
      <w:r w:rsidRPr="084C6E16">
        <w:rPr>
          <w:b/>
          <w:bCs/>
          <w:color w:val="000000" w:themeColor="text1"/>
        </w:rPr>
        <w:t>MTÜ Saarte Koostöökogu (</w:t>
      </w:r>
      <w:r w:rsidRPr="084C6E16">
        <w:rPr>
          <w:b/>
          <w:bCs/>
        </w:rPr>
        <w:t xml:space="preserve">SKK) edastas Teie projektitaotluse koos ettepanekuga taotluse rahastamiseks Põllumajanduse Registrite ja Informatsiooni Ametile (PRIA) eile, </w:t>
      </w:r>
      <w:r w:rsidR="00311946">
        <w:rPr>
          <w:b/>
          <w:bCs/>
        </w:rPr>
        <w:t>22</w:t>
      </w:r>
      <w:r w:rsidRPr="084C6E16">
        <w:rPr>
          <w:b/>
          <w:bCs/>
        </w:rPr>
        <w:t>.11.202</w:t>
      </w:r>
      <w:r w:rsidR="00311946">
        <w:rPr>
          <w:b/>
          <w:bCs/>
        </w:rPr>
        <w:t>1</w:t>
      </w:r>
      <w:r w:rsidRPr="084C6E16">
        <w:rPr>
          <w:b/>
          <w:bCs/>
        </w:rPr>
        <w:t>.</w:t>
      </w:r>
    </w:p>
    <w:p w14:paraId="02EB378F" w14:textId="77777777" w:rsidR="00A95A85" w:rsidRPr="00B3144D" w:rsidRDefault="00A95A85" w:rsidP="00A95A85">
      <w:pPr>
        <w:rPr>
          <w:b/>
        </w:rPr>
      </w:pPr>
    </w:p>
    <w:p w14:paraId="7040DEEF" w14:textId="7DA1CCFB" w:rsidR="00A95A85" w:rsidRDefault="084C6E16" w:rsidP="00A95A85">
      <w:pPr>
        <w:jc w:val="both"/>
      </w:pPr>
      <w:r>
        <w:t>Sellele järgnevast tööpäevast (</w:t>
      </w:r>
      <w:r w:rsidR="00311946">
        <w:t>23</w:t>
      </w:r>
      <w:r>
        <w:t>.11.202</w:t>
      </w:r>
      <w:r w:rsidR="00311946">
        <w:t>1</w:t>
      </w:r>
      <w:r>
        <w:t xml:space="preserve">) algab taotluse menetlusprotsess PRIA-s. Menetlusprotsessi ajal </w:t>
      </w:r>
      <w:r w:rsidRPr="084C6E16">
        <w:rPr>
          <w:u w:val="single"/>
        </w:rPr>
        <w:t>võid teha kulutusi</w:t>
      </w:r>
      <w:r>
        <w:t xml:space="preserve"> projekti tegevuste elluviimiseks nö omal vastutusel, kuni lõpliku otsuse saamiseni PRIAst.</w:t>
      </w:r>
    </w:p>
    <w:p w14:paraId="6A05A809" w14:textId="77777777" w:rsidR="00A95A85" w:rsidRPr="00B3144D" w:rsidRDefault="00A95A85" w:rsidP="00A95A85">
      <w:pPr>
        <w:jc w:val="both"/>
      </w:pPr>
    </w:p>
    <w:p w14:paraId="6303880F" w14:textId="77777777" w:rsidR="00A95A85" w:rsidRDefault="00A72DD3" w:rsidP="00B73560">
      <w:pPr>
        <w:tabs>
          <w:tab w:val="center" w:pos="4320"/>
        </w:tabs>
        <w:jc w:val="both"/>
        <w:rPr>
          <w:b/>
          <w:bCs/>
          <w:color w:val="000000"/>
        </w:rPr>
      </w:pPr>
      <w:r w:rsidRPr="00B3144D">
        <w:rPr>
          <w:b/>
          <w:color w:val="000000"/>
        </w:rPr>
        <w:t>Oleme koostanud Teie projekti edukaks elluviimiseks abimaterjali</w:t>
      </w:r>
      <w:r w:rsidR="000E242C" w:rsidRPr="00B3144D">
        <w:rPr>
          <w:b/>
          <w:color w:val="000000"/>
        </w:rPr>
        <w:t>.</w:t>
      </w:r>
      <w:r w:rsidR="00B73560" w:rsidRPr="00B73560">
        <w:rPr>
          <w:b/>
          <w:bCs/>
          <w:color w:val="000000"/>
        </w:rPr>
        <w:t xml:space="preserve"> </w:t>
      </w:r>
    </w:p>
    <w:p w14:paraId="16545504" w14:textId="557CE348" w:rsidR="00B73560" w:rsidRPr="00B73560" w:rsidRDefault="084C6E16" w:rsidP="00B73560">
      <w:pPr>
        <w:tabs>
          <w:tab w:val="center" w:pos="4320"/>
        </w:tabs>
        <w:jc w:val="both"/>
        <w:rPr>
          <w:rFonts w:ascii="Calibri" w:hAnsi="Calibri" w:cs="Calibri"/>
          <w:color w:val="000000"/>
          <w:sz w:val="22"/>
          <w:szCs w:val="22"/>
        </w:rPr>
      </w:pPr>
      <w:r w:rsidRPr="084C6E16">
        <w:rPr>
          <w:color w:val="000000" w:themeColor="text1"/>
        </w:rPr>
        <w:t>Täpsemalt ja mahukamalt on LEADER meetme tingimused ja nõuded antud maaeluministri 23.10.2015 määruses nr 11 „Kohaliku tegevusgrupi toetus ja LEADER-projektitoetus” (LEADER määrus), mis on leitav aadressilt: (</w:t>
      </w:r>
      <w:hyperlink r:id="rId7">
        <w:r w:rsidRPr="084C6E16">
          <w:rPr>
            <w:rStyle w:val="Hyperlink"/>
          </w:rPr>
          <w:t>https://www.riigiteataja.ee/akt/129082015028</w:t>
        </w:r>
      </w:hyperlink>
      <w:r w:rsidRPr="084C6E16">
        <w:rPr>
          <w:rFonts w:ascii="Calibri" w:hAnsi="Calibri" w:cs="Calibri"/>
          <w:color w:val="000000" w:themeColor="text1"/>
          <w:sz w:val="22"/>
          <w:szCs w:val="22"/>
        </w:rPr>
        <w:t>)</w:t>
      </w:r>
    </w:p>
    <w:p w14:paraId="5E1A7CF0" w14:textId="3002D321" w:rsidR="084C6E16" w:rsidRDefault="084C6E16" w:rsidP="084C6E16">
      <w:pPr>
        <w:jc w:val="both"/>
        <w:rPr>
          <w:color w:val="000000" w:themeColor="text1"/>
        </w:rPr>
      </w:pPr>
      <w:r w:rsidRPr="084C6E16">
        <w:t xml:space="preserve">PRIA kodulehel: </w:t>
      </w:r>
      <w:hyperlink r:id="rId8">
        <w:r w:rsidRPr="084C6E16">
          <w:rPr>
            <w:rStyle w:val="Hyperlink"/>
          </w:rPr>
          <w:t>https://www.pria.ee/toetused/leader-meetme-raames-antav-projektitoetus</w:t>
        </w:r>
      </w:hyperlink>
    </w:p>
    <w:p w14:paraId="5A39BBE3" w14:textId="77777777" w:rsidR="00A72DD3" w:rsidRPr="00B3144D" w:rsidRDefault="00A72DD3">
      <w:pPr>
        <w:tabs>
          <w:tab w:val="center" w:pos="4320"/>
        </w:tabs>
        <w:rPr>
          <w:b/>
          <w:color w:val="000000"/>
        </w:rPr>
      </w:pPr>
    </w:p>
    <w:p w14:paraId="0B85C496" w14:textId="77777777" w:rsidR="00A72DD3" w:rsidRPr="00A95A85" w:rsidRDefault="00A72DD3" w:rsidP="000E242C">
      <w:pPr>
        <w:jc w:val="both"/>
        <w:rPr>
          <w:u w:val="single"/>
        </w:rPr>
      </w:pPr>
      <w:r w:rsidRPr="00B3144D">
        <w:rPr>
          <w:b/>
        </w:rPr>
        <w:t>Pea meeles</w:t>
      </w:r>
      <w:r w:rsidRPr="00B3144D">
        <w:t xml:space="preserve"> - </w:t>
      </w:r>
      <w:r w:rsidRPr="00B3144D">
        <w:rPr>
          <w:color w:val="000000"/>
        </w:rPr>
        <w:t xml:space="preserve">toetatava tegevuse/investeeringu tegemist </w:t>
      </w:r>
      <w:r w:rsidRPr="00A95A85">
        <w:rPr>
          <w:color w:val="000000"/>
          <w:u w:val="single"/>
        </w:rPr>
        <w:t>ei või alustada varem ega dokumendid selle kohta ei või olla varasemad, kui SKK poolt projektitaotluse PRIA-le esitamise päevale järgneval päeval.</w:t>
      </w:r>
    </w:p>
    <w:p w14:paraId="41C8F396" w14:textId="77777777" w:rsidR="00A72DD3" w:rsidRPr="00B3144D" w:rsidRDefault="00A72DD3">
      <w:pPr>
        <w:rPr>
          <w:color w:val="000000"/>
        </w:rPr>
      </w:pPr>
    </w:p>
    <w:p w14:paraId="5E8F9915" w14:textId="77777777" w:rsidR="00A72DD3" w:rsidRPr="00B3144D" w:rsidRDefault="00A72DD3" w:rsidP="0034773F">
      <w:pPr>
        <w:jc w:val="both"/>
      </w:pPr>
      <w:r w:rsidRPr="00B3144D">
        <w:rPr>
          <w:color w:val="202020"/>
        </w:rPr>
        <w:t>PRIA teeb projektitaotluse osalise või täieliku rahuldamise otsuse (PRIA otsus)</w:t>
      </w:r>
      <w:r w:rsidR="00B3144D">
        <w:rPr>
          <w:color w:val="202020"/>
        </w:rPr>
        <w:t xml:space="preserve"> </w:t>
      </w:r>
      <w:r w:rsidRPr="00B3144D">
        <w:rPr>
          <w:color w:val="202020"/>
        </w:rPr>
        <w:t xml:space="preserve">või projektitaotluse rahuldamata jätmise otsuse </w:t>
      </w:r>
      <w:r w:rsidRPr="00B3144D">
        <w:rPr>
          <w:b/>
          <w:color w:val="202020"/>
        </w:rPr>
        <w:t>60 tööpäeva jooksul</w:t>
      </w:r>
      <w:r w:rsidRPr="00B3144D">
        <w:rPr>
          <w:color w:val="202020"/>
        </w:rPr>
        <w:t xml:space="preserve"> arvates päevast, mil SKK esitas PRIAle projektitaotluste paremusjärjestuse ettepaneku. Vajaduse korral võib PRIA otsuse tegemise tähtaega pikendada kuni 90 tööpäevani.</w:t>
      </w:r>
      <w:r w:rsidRPr="00B3144D">
        <w:t xml:space="preserve"> Peale PRIA otsuse kättesaamist on taotlejal õigus hakata PRIA-sse esitama projekti maksetaotlusi. </w:t>
      </w:r>
    </w:p>
    <w:p w14:paraId="2B9C1942" w14:textId="1ADBD28A" w:rsidR="34D5B5C8" w:rsidRDefault="34D5B5C8" w:rsidP="34D5B5C8"/>
    <w:p w14:paraId="0E27B00A" w14:textId="77777777" w:rsidR="00A72DD3" w:rsidRPr="00B3144D" w:rsidRDefault="00A72DD3">
      <w:pPr>
        <w:ind w:firstLine="720"/>
        <w:jc w:val="both"/>
        <w:rPr>
          <w:color w:val="000000"/>
        </w:rPr>
      </w:pPr>
    </w:p>
    <w:p w14:paraId="52B916F1" w14:textId="77777777" w:rsidR="00A72DD3" w:rsidRPr="00B3144D" w:rsidRDefault="7CD9E77F" w:rsidP="7CD9E77F">
      <w:pPr>
        <w:jc w:val="both"/>
        <w:rPr>
          <w:u w:val="single"/>
        </w:rPr>
      </w:pPr>
      <w:r w:rsidRPr="7CD9E77F">
        <w:rPr>
          <w:b/>
          <w:bCs/>
          <w:u w:val="single"/>
        </w:rPr>
        <w:t>Enne projekti elluviimisega seotud tegevusega alustamist KONTROLLI</w:t>
      </w:r>
      <w:r w:rsidRPr="7CD9E77F">
        <w:rPr>
          <w:u w:val="single"/>
        </w:rPr>
        <w:t>:</w:t>
      </w:r>
    </w:p>
    <w:p w14:paraId="60061E4C" w14:textId="77777777" w:rsidR="00306534" w:rsidRPr="00B3144D" w:rsidRDefault="00306534">
      <w:pPr>
        <w:jc w:val="both"/>
      </w:pPr>
    </w:p>
    <w:p w14:paraId="15893497" w14:textId="77777777" w:rsidR="000E242C" w:rsidRPr="00B3144D" w:rsidRDefault="000E242C" w:rsidP="0034773F">
      <w:pPr>
        <w:jc w:val="both"/>
        <w:rPr>
          <w:rStyle w:val="Hyperlink"/>
          <w:color w:val="auto"/>
          <w:u w:val="none"/>
        </w:rPr>
      </w:pPr>
      <w:r w:rsidRPr="00B3144D">
        <w:rPr>
          <w:rStyle w:val="Hyperlink"/>
          <w:b/>
          <w:bCs/>
          <w:color w:val="000000"/>
        </w:rPr>
        <w:t xml:space="preserve">Hinnapakkumused. </w:t>
      </w:r>
    </w:p>
    <w:p w14:paraId="753364E6" w14:textId="77777777" w:rsidR="001337FF" w:rsidRDefault="001337FF" w:rsidP="000E242C">
      <w:pPr>
        <w:ind w:left="850"/>
        <w:jc w:val="both"/>
      </w:pPr>
      <w:r>
        <w:t xml:space="preserve">Kui tegevuse või investeeringu käibemaksuta maksumus on vahemikus </w:t>
      </w:r>
      <w:r w:rsidRPr="001337FF">
        <w:rPr>
          <w:b/>
          <w:bCs/>
        </w:rPr>
        <w:t>1000–5000 eurot</w:t>
      </w:r>
      <w:r>
        <w:t xml:space="preserve">, tuleb maksetaotlusega koos esitada </w:t>
      </w:r>
      <w:r w:rsidRPr="001337FF">
        <w:rPr>
          <w:b/>
          <w:bCs/>
        </w:rPr>
        <w:t>vähemalt üks hinnapakkumus</w:t>
      </w:r>
      <w:r>
        <w:t xml:space="preserve">, mis sisaldab teavet ostetava või liisitava kauba, töö või teenuse maksumuse ja koguse kohta. </w:t>
      </w:r>
    </w:p>
    <w:p w14:paraId="0A69FE80" w14:textId="77777777" w:rsidR="000E242C" w:rsidRDefault="084C6E16" w:rsidP="000E242C">
      <w:pPr>
        <w:ind w:left="850"/>
        <w:jc w:val="both"/>
      </w:pPr>
      <w:r>
        <w:t xml:space="preserve">Kui tegevuse või investeeringu käibemaksuta maksumus </w:t>
      </w:r>
      <w:r w:rsidRPr="084C6E16">
        <w:rPr>
          <w:b/>
          <w:bCs/>
        </w:rPr>
        <w:t>ületab 5000 eurot</w:t>
      </w:r>
      <w:r>
        <w:t xml:space="preserve">, tuleb maksetaotlusega koos esitada </w:t>
      </w:r>
      <w:r w:rsidRPr="084C6E16">
        <w:rPr>
          <w:b/>
          <w:bCs/>
        </w:rPr>
        <w:t>hinnapakkumused vähemalt kolmelt</w:t>
      </w:r>
      <w:r>
        <w:t xml:space="preserve"> teenust osutavalt, tööd pakkuvalt või kaupa müüvalt isikult. Hinnapakkumused peavad olema </w:t>
      </w:r>
      <w:r w:rsidRPr="084C6E16">
        <w:rPr>
          <w:u w:val="single"/>
        </w:rPr>
        <w:t>omavahel võrreldavad ning koos selliste tehniliste tingimuste loeteluga, mis osutavad tehnilisele spetsifikatsioonile.</w:t>
      </w:r>
    </w:p>
    <w:p w14:paraId="44EAFD9C" w14:textId="77777777" w:rsidR="00C922CD" w:rsidRDefault="00C922CD" w:rsidP="000E242C">
      <w:pPr>
        <w:ind w:left="850"/>
        <w:jc w:val="both"/>
      </w:pPr>
    </w:p>
    <w:p w14:paraId="39F1D7CC" w14:textId="77777777" w:rsidR="00C922CD" w:rsidRDefault="00C922CD" w:rsidP="000E242C">
      <w:pPr>
        <w:ind w:left="850"/>
        <w:jc w:val="both"/>
      </w:pPr>
      <w:r>
        <w:t>Kui projektitoetuse saaja ei ole saanud nõutud arvu hinnapakkumusi või valinud odavaimat hinnapakkumust, peab selle kohta esitama põhjenduse.</w:t>
      </w:r>
    </w:p>
    <w:p w14:paraId="4B94D5A5" w14:textId="77777777" w:rsidR="00270B47" w:rsidRDefault="00270B47" w:rsidP="000E242C">
      <w:pPr>
        <w:ind w:left="850"/>
        <w:jc w:val="both"/>
      </w:pPr>
    </w:p>
    <w:p w14:paraId="37A600B8" w14:textId="77777777" w:rsidR="00270B47" w:rsidRDefault="00270B47" w:rsidP="000E242C">
      <w:pPr>
        <w:ind w:left="850"/>
        <w:jc w:val="both"/>
      </w:pPr>
      <w:r>
        <w:lastRenderedPageBreak/>
        <w:t>Projektitoetuse saaja ei tohi hinnapakkumusele määruses sätestatud nõuete eiramiseks jaotada tegevuse hinnapakkumust osadeks, kui toetatava tegevuse elluviimiseks või investeeringu tegemiseks vajalik teenus, töö või kaup on funktsionaalselt koos toimiv.</w:t>
      </w:r>
    </w:p>
    <w:p w14:paraId="3DEEC669" w14:textId="77777777" w:rsidR="00C922CD" w:rsidRPr="00B3144D" w:rsidRDefault="00C922CD" w:rsidP="000E242C">
      <w:pPr>
        <w:ind w:left="850"/>
        <w:jc w:val="both"/>
        <w:rPr>
          <w:rStyle w:val="Hyperlink"/>
          <w:color w:val="000000"/>
          <w:u w:val="none"/>
        </w:rPr>
      </w:pPr>
    </w:p>
    <w:p w14:paraId="5349E0C5" w14:textId="77777777" w:rsidR="000E242C" w:rsidRPr="00B3144D" w:rsidRDefault="000E242C" w:rsidP="0034773F">
      <w:pPr>
        <w:jc w:val="both"/>
      </w:pPr>
      <w:r w:rsidRPr="00B3144D">
        <w:rPr>
          <w:b/>
          <w:bCs/>
          <w:color w:val="000000"/>
          <w:u w:val="single"/>
        </w:rPr>
        <w:t xml:space="preserve">Kontrolli hinnapakkumuste vastavust nõuetele </w:t>
      </w:r>
    </w:p>
    <w:p w14:paraId="5BCC0485" w14:textId="77777777" w:rsidR="00E96348" w:rsidRDefault="00E96348" w:rsidP="000E242C">
      <w:pPr>
        <w:jc w:val="both"/>
      </w:pPr>
      <w:r>
        <w:t>Hinnapakkumus peab sisaldama:</w:t>
      </w:r>
    </w:p>
    <w:p w14:paraId="3B8DB187" w14:textId="77777777" w:rsidR="00E96348" w:rsidRDefault="00E96348" w:rsidP="00E96348">
      <w:pPr>
        <w:numPr>
          <w:ilvl w:val="0"/>
          <w:numId w:val="7"/>
        </w:numPr>
        <w:jc w:val="both"/>
      </w:pPr>
      <w:r>
        <w:t xml:space="preserve">taotleja nime, välja arvatud juhul, kui hinnapakkumuseks on väljatrükk hinnapakkuja veebilehelt, </w:t>
      </w:r>
    </w:p>
    <w:p w14:paraId="61B0A37F" w14:textId="77777777" w:rsidR="00E96348" w:rsidRPr="00E96348" w:rsidRDefault="00E96348" w:rsidP="00E96348">
      <w:pPr>
        <w:numPr>
          <w:ilvl w:val="0"/>
          <w:numId w:val="7"/>
        </w:numPr>
        <w:jc w:val="both"/>
        <w:rPr>
          <w:b/>
          <w:bCs/>
          <w:color w:val="000000"/>
          <w:u w:val="single"/>
        </w:rPr>
      </w:pPr>
      <w:r>
        <w:t xml:space="preserve">hinnapakkuja nime, registrikoodi ja kontaktandmeid, </w:t>
      </w:r>
    </w:p>
    <w:p w14:paraId="500BF8C3" w14:textId="77777777" w:rsidR="00E96348" w:rsidRPr="00E96348" w:rsidRDefault="00E96348" w:rsidP="00E96348">
      <w:pPr>
        <w:numPr>
          <w:ilvl w:val="0"/>
          <w:numId w:val="7"/>
        </w:numPr>
        <w:jc w:val="both"/>
        <w:rPr>
          <w:b/>
          <w:bCs/>
          <w:color w:val="000000"/>
          <w:u w:val="single"/>
        </w:rPr>
      </w:pPr>
      <w:r>
        <w:t xml:space="preserve">hinnapakkumuse väljastamise kuupäeva </w:t>
      </w:r>
    </w:p>
    <w:p w14:paraId="57EFA114" w14:textId="77777777" w:rsidR="00E96348" w:rsidRPr="00E96348" w:rsidRDefault="00E96348" w:rsidP="00E96348">
      <w:pPr>
        <w:numPr>
          <w:ilvl w:val="0"/>
          <w:numId w:val="7"/>
        </w:numPr>
        <w:jc w:val="both"/>
        <w:rPr>
          <w:b/>
          <w:bCs/>
          <w:color w:val="000000"/>
          <w:u w:val="single"/>
        </w:rPr>
      </w:pPr>
      <w:r>
        <w:t xml:space="preserve">toetatava tegevuse või investeeringuobjekti käibemaksuta ja käibemaksuga maksumust. </w:t>
      </w:r>
    </w:p>
    <w:p w14:paraId="1E1AFAD8" w14:textId="77777777" w:rsidR="00E96348" w:rsidRDefault="00E96348" w:rsidP="00E96348">
      <w:pPr>
        <w:jc w:val="both"/>
      </w:pPr>
      <w:r>
        <w:t xml:space="preserve">Ehitusseadustiku kohaselt ehitusteatise- või ehitusloakohustusliku ehitustegevuse puhul, kus ehitatavaks ehitiseks on ehitusseadustiku tähenduses hoone, peab saadud hinnapakkumus sisaldama lisaks lõikes 8 nimetatud andmetele hoone kohta järgmiseid andmeid: </w:t>
      </w:r>
    </w:p>
    <w:p w14:paraId="46C24B93" w14:textId="77777777" w:rsidR="00E96348" w:rsidRDefault="00E96348" w:rsidP="00E96348">
      <w:pPr>
        <w:jc w:val="both"/>
      </w:pPr>
      <w:r>
        <w:t xml:space="preserve">1) hoone nimetus; </w:t>
      </w:r>
    </w:p>
    <w:p w14:paraId="5F0EFEE2" w14:textId="77777777" w:rsidR="00E96348" w:rsidRDefault="00E96348" w:rsidP="00E96348">
      <w:pPr>
        <w:jc w:val="both"/>
      </w:pPr>
      <w:r>
        <w:t xml:space="preserve">2) ehitisregistri kood; </w:t>
      </w:r>
    </w:p>
    <w:p w14:paraId="0A49E50A" w14:textId="1B6E0502" w:rsidR="00E96348" w:rsidRDefault="084C6E16" w:rsidP="00E96348">
      <w:pPr>
        <w:jc w:val="both"/>
      </w:pPr>
      <w:r>
        <w:t xml:space="preserve">3) selle katastriüksuse katastritunnus, millel hoone paikneb või millele kavandatakse hoone ehitada; </w:t>
      </w:r>
    </w:p>
    <w:p w14:paraId="6ACF6A3B" w14:textId="77777777" w:rsidR="00E96348" w:rsidRDefault="00E96348" w:rsidP="00E96348">
      <w:pPr>
        <w:jc w:val="both"/>
      </w:pPr>
      <w:r>
        <w:t>4) hoone üldkulud;</w:t>
      </w:r>
    </w:p>
    <w:p w14:paraId="15AFDD73" w14:textId="77777777" w:rsidR="00E96348" w:rsidRDefault="00E96348" w:rsidP="00E96348">
      <w:pPr>
        <w:jc w:val="both"/>
      </w:pPr>
      <w:r>
        <w:t>5)</w:t>
      </w:r>
      <w:r w:rsidR="00823750">
        <w:t xml:space="preserve"> </w:t>
      </w:r>
      <w:r>
        <w:t>vastava kululiigi olemasolu korral hoone ettevalmistuskulud, välisrajatiste kulud, aluse- ja vundamendikulud, kandetarindite kulud, fassaadielementide kulud, katusekulud, ruumitarindite kulud, pinnakatete kulud, sisustuse kulud, inventari kulud, seadmete kulud, tehnosüsteemide kulud, ehitusplatsi korralduskulud ja ehitusplatsi üldkulud.</w:t>
      </w:r>
    </w:p>
    <w:p w14:paraId="3656B9AB" w14:textId="211687B7" w:rsidR="00E96348" w:rsidRDefault="084C6E16" w:rsidP="000E242C">
      <w:pPr>
        <w:jc w:val="both"/>
      </w:pPr>
      <w:r>
        <w:t xml:space="preserve">PRIA on koostanud ehitustegevuse puhul hinnapakkumuse vormi ja avaldanud selle oma veebilehel: </w:t>
      </w:r>
      <w:hyperlink r:id="rId9">
        <w:r w:rsidRPr="084C6E16">
          <w:rPr>
            <w:rStyle w:val="Hyperlink"/>
          </w:rPr>
          <w:t>https://www.pria.ee/toetused/leader-meetme-raames-antav-projektitoetus</w:t>
        </w:r>
      </w:hyperlink>
    </w:p>
    <w:p w14:paraId="3D597127" w14:textId="29C48244" w:rsidR="084C6E16" w:rsidRDefault="084C6E16" w:rsidP="084C6E16">
      <w:pPr>
        <w:jc w:val="both"/>
      </w:pPr>
    </w:p>
    <w:p w14:paraId="3B791ABE" w14:textId="77777777" w:rsidR="00385088" w:rsidRDefault="000E242C" w:rsidP="000E242C">
      <w:pPr>
        <w:jc w:val="both"/>
        <w:rPr>
          <w:color w:val="000000"/>
        </w:rPr>
      </w:pPr>
      <w:r w:rsidRPr="00B3144D">
        <w:rPr>
          <w:b/>
          <w:bCs/>
          <w:color w:val="000000"/>
          <w:u w:val="single"/>
        </w:rPr>
        <w:t>T</w:t>
      </w:r>
      <w:r w:rsidR="00A72DD3" w:rsidRPr="00B3144D">
        <w:rPr>
          <w:b/>
          <w:bCs/>
          <w:color w:val="000000"/>
          <w:u w:val="single"/>
        </w:rPr>
        <w:t>ehingud seotud isikutega</w:t>
      </w:r>
      <w:r w:rsidR="00A72DD3" w:rsidRPr="00B3144D">
        <w:rPr>
          <w:color w:val="000000"/>
        </w:rPr>
        <w:t xml:space="preserve"> </w:t>
      </w:r>
    </w:p>
    <w:p w14:paraId="031575D5" w14:textId="77777777" w:rsidR="00A72DD3" w:rsidRPr="00B3144D" w:rsidRDefault="34D5B5C8" w:rsidP="000E242C">
      <w:pPr>
        <w:jc w:val="both"/>
      </w:pPr>
      <w:r w:rsidRPr="34D5B5C8">
        <w:rPr>
          <w:color w:val="000000" w:themeColor="text1"/>
        </w:rPr>
        <w:t xml:space="preserve">Kui tegevuse või investeeringu käibemaksuta maksumus ületab 1000 eurot, ei tohi taotleja juhatuse ega nõukogu liikmed kuuluda hinnapakkuja juhatusse ega nõukokku ega omada hinnapakkuja äriühingus osalust. MTÜ korral ei tohi juhatuse liikmed kuuluda hinnapakkuja juhatusse ega nõukokku ega omada osalust hinnapakkuja äriühingus. Sihtasutus (SA) puhul tuleb hinnapakkumused võtta väljaspoolt SAd, kuna SA organid on juhatus ja nõukogu. </w:t>
      </w:r>
      <w:r w:rsidRPr="34D5B5C8">
        <w:rPr>
          <w:color w:val="000000" w:themeColor="text1"/>
          <w:u w:val="single"/>
        </w:rPr>
        <w:t>Kõik ühe hankija arved liidetakse kokku ja kui summa ületab 1000 eurot, siis ei tohi olla seotusi.</w:t>
      </w:r>
    </w:p>
    <w:p w14:paraId="29CFE128" w14:textId="45AC42C4" w:rsidR="34D5B5C8" w:rsidRDefault="34D5B5C8" w:rsidP="34D5B5C8">
      <w:pPr>
        <w:jc w:val="both"/>
        <w:rPr>
          <w:color w:val="000000" w:themeColor="text1"/>
          <w:u w:val="single"/>
        </w:rPr>
      </w:pPr>
    </w:p>
    <w:p w14:paraId="32D88F3C" w14:textId="77777777" w:rsidR="34D5B5C8" w:rsidRDefault="34D5B5C8" w:rsidP="34D5B5C8">
      <w:pPr>
        <w:rPr>
          <w:b/>
          <w:bCs/>
          <w:color w:val="000000" w:themeColor="text1"/>
          <w:u w:val="single"/>
        </w:rPr>
      </w:pPr>
      <w:r w:rsidRPr="34D5B5C8">
        <w:rPr>
          <w:b/>
          <w:bCs/>
          <w:color w:val="000000" w:themeColor="text1"/>
          <w:u w:val="single"/>
        </w:rPr>
        <w:t>PROJEKTI ELLUVIIMINE</w:t>
      </w:r>
    </w:p>
    <w:p w14:paraId="0F447E96" w14:textId="77777777" w:rsidR="34D5B5C8" w:rsidRDefault="34D5B5C8" w:rsidP="34D5B5C8">
      <w:pPr>
        <w:ind w:left="720"/>
      </w:pPr>
    </w:p>
    <w:p w14:paraId="0B7EB404" w14:textId="6810E191" w:rsidR="34D5B5C8" w:rsidRDefault="7CD9E77F" w:rsidP="7CD9E77F">
      <w:pPr>
        <w:pStyle w:val="ListParagraph"/>
        <w:numPr>
          <w:ilvl w:val="0"/>
          <w:numId w:val="1"/>
        </w:numPr>
        <w:jc w:val="both"/>
      </w:pPr>
      <w:r w:rsidRPr="7CD9E77F">
        <w:t xml:space="preserve">Investeeringud tuleb teostada kahe aasta jooksul arvates PRIA poolt projektitaotluse rahuldamise otsuse tegemisest, kuid hiljemalt 31. detsembril 2024. Maksetaotlust ning tegevust ja </w:t>
      </w:r>
      <w:r>
        <w:t>inveseteeringuid tõendavad dokumendid saab e-pria kaudu esitada kuni neljas osas ühe projektitaotluse kohta.</w:t>
      </w:r>
    </w:p>
    <w:p w14:paraId="1DB55032" w14:textId="6BF873CA" w:rsidR="34D5B5C8" w:rsidRDefault="7CD9E77F" w:rsidP="7CD9E77F">
      <w:pPr>
        <w:pStyle w:val="ListParagraph"/>
        <w:numPr>
          <w:ilvl w:val="0"/>
          <w:numId w:val="1"/>
        </w:numPr>
        <w:jc w:val="both"/>
      </w:pPr>
      <w:r w:rsidRPr="7CD9E77F">
        <w:rPr>
          <w:color w:val="000000" w:themeColor="text1"/>
        </w:rPr>
        <w:t xml:space="preserve">Ühisprojekti tegevused viiakse ellu planeeritud tegevuskava alusel. </w:t>
      </w:r>
      <w:r>
        <w:t xml:space="preserve">Vajadusel saab tegevuskava pikendada, kuid tegevused tuleb ellu viia kuni nelja aasta jooksul </w:t>
      </w:r>
      <w:r>
        <w:lastRenderedPageBreak/>
        <w:t xml:space="preserve">arvates PRIA poolt projektitaotluse rahuldamise otsuse tegemisest, kuid hiljemalt 31. detsembril 2024. </w:t>
      </w:r>
    </w:p>
    <w:p w14:paraId="1FF82632" w14:textId="5BF5CBF9" w:rsidR="34D5B5C8" w:rsidRDefault="7CD9E77F" w:rsidP="7CD9E77F">
      <w:pPr>
        <w:pStyle w:val="ListParagraph"/>
        <w:numPr>
          <w:ilvl w:val="0"/>
          <w:numId w:val="1"/>
        </w:numPr>
        <w:jc w:val="both"/>
      </w:pPr>
      <w:r>
        <w:t>Maksetaotlust saab ühisprojektis planeeritud tegevuste kulude osas esitada kalendriaastas kuni neljas osas ühe taotluse kohta.</w:t>
      </w:r>
    </w:p>
    <w:p w14:paraId="17B69275" w14:textId="38A68C5D" w:rsidR="34D5B5C8" w:rsidRDefault="7CD9E77F" w:rsidP="7CD9E77F">
      <w:pPr>
        <w:pStyle w:val="ListParagraph"/>
        <w:numPr>
          <w:ilvl w:val="0"/>
          <w:numId w:val="1"/>
        </w:numPr>
        <w:jc w:val="both"/>
      </w:pPr>
      <w:r>
        <w:t>Maksetaotlust ning tegevust ja inveseteeringuid tõendavad dokumendid saab e-pria kaudu esitada kuni neljas osas ühe projektitaotluse kohta.</w:t>
      </w:r>
    </w:p>
    <w:p w14:paraId="45FB0818" w14:textId="77777777" w:rsidR="00A72DD3" w:rsidRPr="00B3144D" w:rsidRDefault="00A72DD3">
      <w:pPr>
        <w:ind w:left="1647"/>
        <w:jc w:val="both"/>
      </w:pPr>
    </w:p>
    <w:p w14:paraId="049F31CB" w14:textId="77777777" w:rsidR="00A72DD3" w:rsidRPr="00B3144D" w:rsidRDefault="00A72DD3">
      <w:pPr>
        <w:jc w:val="both"/>
        <w:rPr>
          <w:color w:val="000000"/>
        </w:rPr>
      </w:pPr>
    </w:p>
    <w:p w14:paraId="2173E121" w14:textId="77777777" w:rsidR="00A72DD3" w:rsidRPr="00B3144D" w:rsidRDefault="00306534">
      <w:pPr>
        <w:jc w:val="both"/>
      </w:pPr>
      <w:r w:rsidRPr="00B3144D">
        <w:rPr>
          <w:b/>
        </w:rPr>
        <w:t>KULU</w:t>
      </w:r>
      <w:r w:rsidR="00A72DD3" w:rsidRPr="00B3144D">
        <w:rPr>
          <w:b/>
        </w:rPr>
        <w:t>DOKUMENTIDE</w:t>
      </w:r>
      <w:r w:rsidR="00D01C67">
        <w:rPr>
          <w:b/>
        </w:rPr>
        <w:t xml:space="preserve"> ehk MAKSETAOTLUSE</w:t>
      </w:r>
      <w:r w:rsidR="00A72DD3" w:rsidRPr="00B3144D">
        <w:rPr>
          <w:b/>
        </w:rPr>
        <w:t xml:space="preserve"> esitamine PRIA-le, sealhulgas osaliselt tasutud kuludokumentide (OTKA) esitamine.</w:t>
      </w:r>
    </w:p>
    <w:p w14:paraId="43FE5B10" w14:textId="03B4F52A" w:rsidR="00A72DD3" w:rsidRPr="00B3144D" w:rsidRDefault="084C6E16" w:rsidP="084C6E16">
      <w:pPr>
        <w:tabs>
          <w:tab w:val="left" w:pos="900"/>
        </w:tabs>
        <w:ind w:left="207"/>
        <w:jc w:val="both"/>
      </w:pPr>
      <w:r>
        <w:t>Maksetaotlus on avaldus e-prias, millega taotleja saab küsida enda poolt tehtud kulutuste eest tagasi toetuse osa.</w:t>
      </w:r>
    </w:p>
    <w:p w14:paraId="60927699" w14:textId="6AD3A020" w:rsidR="00C61DCA" w:rsidRPr="00B3144D" w:rsidRDefault="34D5B5C8" w:rsidP="34D5B5C8">
      <w:pPr>
        <w:pStyle w:val="ListParagraph"/>
        <w:numPr>
          <w:ilvl w:val="0"/>
          <w:numId w:val="2"/>
        </w:numPr>
        <w:tabs>
          <w:tab w:val="left" w:pos="900"/>
        </w:tabs>
        <w:jc w:val="both"/>
      </w:pPr>
      <w:r>
        <w:t xml:space="preserve">Maksetaotlust koos asjakohaste dokumentidega saab hakata esitama peale PRIA otsuse kättesaamist. Dokumente tohib investeeringu projekti puhul esitada </w:t>
      </w:r>
      <w:r w:rsidRPr="34D5B5C8">
        <w:rPr>
          <w:u w:val="single"/>
        </w:rPr>
        <w:t>kuni neljas osas ühe projektitaotluse kohta v.a ühisprojekt, kus maksetaotlust saab</w:t>
      </w:r>
      <w:r>
        <w:t xml:space="preserve"> esitada kalendriaastas kuni neljas osas.</w:t>
      </w:r>
    </w:p>
    <w:p w14:paraId="5D467996" w14:textId="64CC36FB" w:rsidR="00C61DCA" w:rsidRPr="00B3144D" w:rsidRDefault="34D5B5C8" w:rsidP="34D5B5C8">
      <w:pPr>
        <w:pStyle w:val="ListParagraph"/>
        <w:numPr>
          <w:ilvl w:val="0"/>
          <w:numId w:val="2"/>
        </w:numPr>
        <w:tabs>
          <w:tab w:val="left" w:pos="900"/>
        </w:tabs>
        <w:jc w:val="both"/>
      </w:pPr>
      <w:r w:rsidRPr="34D5B5C8">
        <w:rPr>
          <w:color w:val="000000" w:themeColor="text1"/>
        </w:rPr>
        <w:t xml:space="preserve">Dokumentide esitamine käib ainult elektrooniliselt läbi e-pria keskkonna </w:t>
      </w:r>
      <w:hyperlink r:id="rId10" w:anchor="/login">
        <w:r w:rsidRPr="34D5B5C8">
          <w:rPr>
            <w:rStyle w:val="Hyperlink"/>
          </w:rPr>
          <w:t>https://epria.pria.ee/login/#/login</w:t>
        </w:r>
      </w:hyperlink>
      <w:r>
        <w:t>.</w:t>
      </w:r>
    </w:p>
    <w:p w14:paraId="15BF7A33" w14:textId="6AF30705" w:rsidR="00C61DCA" w:rsidRPr="00B3144D" w:rsidRDefault="34D5B5C8" w:rsidP="34D5B5C8">
      <w:pPr>
        <w:pStyle w:val="ListParagraph"/>
        <w:numPr>
          <w:ilvl w:val="0"/>
          <w:numId w:val="2"/>
        </w:numPr>
        <w:tabs>
          <w:tab w:val="left" w:pos="900"/>
        </w:tabs>
        <w:jc w:val="both"/>
      </w:pPr>
      <w:r>
        <w:t>PRIA maksab toetuse välja üksnes abikõlblike kulude hüvitamiseks ja kui tegevused on nõuetekohaselt ellu viidud. Toetus makstakse välja 3 kuu jooksul arvates nõuetekohaste dokumentide saamisest.</w:t>
      </w:r>
    </w:p>
    <w:p w14:paraId="0847FA78" w14:textId="274BBE98" w:rsidR="00C61DCA" w:rsidRPr="00B3144D" w:rsidRDefault="34D5B5C8" w:rsidP="34D5B5C8">
      <w:pPr>
        <w:pStyle w:val="ListParagraph"/>
        <w:numPr>
          <w:ilvl w:val="0"/>
          <w:numId w:val="2"/>
        </w:numPr>
        <w:jc w:val="both"/>
      </w:pPr>
      <w:r>
        <w:t>Osaliselt tasutud kuludokumentide alusel (OTKA) saab taotleda toetuse väljamaksmist, kui:</w:t>
      </w:r>
    </w:p>
    <w:p w14:paraId="1D62B10E" w14:textId="2FA0B92D" w:rsidR="00C61DCA" w:rsidRPr="00B3144D" w:rsidRDefault="084C6E16" w:rsidP="00C61DCA">
      <w:pPr>
        <w:numPr>
          <w:ilvl w:val="0"/>
          <w:numId w:val="7"/>
        </w:numPr>
        <w:ind w:left="1570"/>
        <w:jc w:val="both"/>
        <w:rPr>
          <w:color w:val="000000"/>
        </w:rPr>
      </w:pPr>
      <w:r>
        <w:t>töö või teenus on lõpetatud või vara on üle antud ning projektitoetuse saaja on selle vastu võtnud;</w:t>
      </w:r>
    </w:p>
    <w:p w14:paraId="2B1AACDF" w14:textId="4FE9F563" w:rsidR="00C61DCA" w:rsidRPr="00B3144D" w:rsidRDefault="084C6E16" w:rsidP="00C61DCA">
      <w:pPr>
        <w:numPr>
          <w:ilvl w:val="0"/>
          <w:numId w:val="7"/>
        </w:numPr>
        <w:ind w:left="1570"/>
        <w:jc w:val="both"/>
        <w:rPr>
          <w:color w:val="000000"/>
        </w:rPr>
      </w:pPr>
      <w:r>
        <w:t xml:space="preserve">töö, teenuse, vara eest on tasutud </w:t>
      </w:r>
      <w:r w:rsidRPr="084C6E16">
        <w:rPr>
          <w:b/>
          <w:bCs/>
        </w:rPr>
        <w:t xml:space="preserve">vähemalt omafinantseeringuga võrdne summa. NB! </w:t>
      </w:r>
      <w:r w:rsidRPr="084C6E16">
        <w:rPr>
          <w:color w:val="000000" w:themeColor="text1"/>
        </w:rPr>
        <w:t>Kui taotleja on käibemaksukohustuslane, tuleb OTKA puhul tasuda vähemalt omafinantseering + kogu selle kuluarve käibemaks!</w:t>
      </w:r>
    </w:p>
    <w:p w14:paraId="09F188A9" w14:textId="6395B414" w:rsidR="00C61DCA" w:rsidRPr="00B3144D" w:rsidRDefault="084C6E16" w:rsidP="00C61DCA">
      <w:pPr>
        <w:numPr>
          <w:ilvl w:val="0"/>
          <w:numId w:val="7"/>
        </w:numPr>
        <w:ind w:left="1570"/>
        <w:jc w:val="both"/>
        <w:rPr>
          <w:color w:val="000000"/>
        </w:rPr>
      </w:pPr>
      <w:r>
        <w:t>toetuse saaja on PRIA jaoks usaldusväärne.</w:t>
      </w:r>
    </w:p>
    <w:p w14:paraId="53128261" w14:textId="77777777" w:rsidR="00C61DCA" w:rsidRPr="00B3144D" w:rsidRDefault="00C61DCA">
      <w:pPr>
        <w:jc w:val="both"/>
        <w:rPr>
          <w:color w:val="000000"/>
        </w:rPr>
      </w:pPr>
    </w:p>
    <w:p w14:paraId="41E5BE30" w14:textId="77777777" w:rsidR="00A72DD3" w:rsidRPr="00B3144D" w:rsidRDefault="00A72DD3">
      <w:pPr>
        <w:jc w:val="both"/>
      </w:pPr>
      <w:r w:rsidRPr="00B3144D">
        <w:rPr>
          <w:color w:val="000000"/>
        </w:rPr>
        <w:t>PANE TÄHELE !</w:t>
      </w:r>
      <w:r w:rsidR="00386C2C">
        <w:rPr>
          <w:color w:val="000000"/>
        </w:rPr>
        <w:t xml:space="preserve"> </w:t>
      </w:r>
      <w:r w:rsidRPr="00B3144D">
        <w:t xml:space="preserve">OTKA ei ole ettemaks. See tähendab, et kui oled tasunud projekti investeeringu/tegevuste eest omafinantseeringuna võrdse summa, siis </w:t>
      </w:r>
      <w:r w:rsidRPr="00B3144D">
        <w:rPr>
          <w:b/>
          <w:bCs/>
        </w:rPr>
        <w:t xml:space="preserve">PRIA kannab taotleja kontole määratud toetusest tasumisega võrdelise summa, </w:t>
      </w:r>
      <w:r w:rsidRPr="00B3144D">
        <w:rPr>
          <w:b/>
          <w:bCs/>
          <w:u w:val="single"/>
        </w:rPr>
        <w:t>mis tuleb 7 päeva jooksul hankijale edasi kanda ja PRIAle esitada kulude tasumist tõendav dokument.</w:t>
      </w:r>
    </w:p>
    <w:p w14:paraId="62486C05" w14:textId="77777777" w:rsidR="00A72DD3" w:rsidRPr="00B3144D" w:rsidRDefault="00A72DD3">
      <w:pPr>
        <w:jc w:val="both"/>
      </w:pPr>
    </w:p>
    <w:p w14:paraId="2F8C9E01" w14:textId="77777777" w:rsidR="00A72DD3" w:rsidRPr="00B3144D" w:rsidRDefault="00A72DD3">
      <w:pPr>
        <w:jc w:val="both"/>
      </w:pPr>
      <w:r w:rsidRPr="00B3144D">
        <w:rPr>
          <w:i/>
        </w:rPr>
        <w:t xml:space="preserve">Näiteks: taotleja soetab seadme, mille maksumus kokku on 1000 eurot ilma käibemaksuta. Toetus on </w:t>
      </w:r>
      <w:r w:rsidRPr="00A461A4">
        <w:rPr>
          <w:b/>
          <w:bCs/>
          <w:i/>
        </w:rPr>
        <w:t>50%</w:t>
      </w:r>
      <w:r w:rsidRPr="00B3144D">
        <w:rPr>
          <w:i/>
        </w:rPr>
        <w:t xml:space="preserve"> toetusmääraga. </w:t>
      </w:r>
    </w:p>
    <w:p w14:paraId="093879F5" w14:textId="77777777" w:rsidR="00A72DD3" w:rsidRPr="00B3144D" w:rsidRDefault="00A72DD3">
      <w:pPr>
        <w:jc w:val="both"/>
      </w:pPr>
      <w:r w:rsidRPr="00B3144D">
        <w:rPr>
          <w:i/>
        </w:rPr>
        <w:t>Hankija esitab seadme eest arve 1000 eurot + käibemaks ning on nõus osalise tasumisega. Taotleja tasub hankijale 500 eurot + kogu investeeringu käibemaksu 200 eurot = kokku 700 eurot. PRIA kannab taotleja kontole (3</w:t>
      </w:r>
      <w:r w:rsidR="00A461A4">
        <w:rPr>
          <w:i/>
        </w:rPr>
        <w:t xml:space="preserve"> kuu</w:t>
      </w:r>
      <w:r w:rsidRPr="00B3144D">
        <w:rPr>
          <w:i/>
        </w:rPr>
        <w:t xml:space="preserve"> jooksul) määratud toetusest tasumisega võrdelise summa ehk 500 eurot, mille taotleja on kohustatud 7 päeva jooksul edasi kandma ja selle kohta esitama PRIAle kulude tasumist tõendava dokumendi ehk maksekorralduse. </w:t>
      </w:r>
    </w:p>
    <w:p w14:paraId="4101652C" w14:textId="77777777" w:rsidR="00A72DD3" w:rsidRPr="00B3144D" w:rsidRDefault="00A72DD3">
      <w:pPr>
        <w:jc w:val="both"/>
      </w:pPr>
    </w:p>
    <w:p w14:paraId="32E68499" w14:textId="77777777" w:rsidR="00A72DD3" w:rsidRPr="00B3144D" w:rsidRDefault="084C6E16" w:rsidP="084C6E16">
      <w:pPr>
        <w:numPr>
          <w:ilvl w:val="0"/>
          <w:numId w:val="2"/>
        </w:numPr>
        <w:ind w:left="850" w:hanging="283"/>
        <w:jc w:val="both"/>
      </w:pPr>
      <w:r w:rsidRPr="084C6E16">
        <w:rPr>
          <w:b/>
          <w:bCs/>
          <w:u w:val="single"/>
        </w:rPr>
        <w:t>Dokumendid mida maksetaotlusele lisada:</w:t>
      </w:r>
    </w:p>
    <w:p w14:paraId="2C3D98E4" w14:textId="77777777" w:rsidR="00A72DD3" w:rsidRPr="000A74CE" w:rsidRDefault="084C6E16" w:rsidP="084C6E16">
      <w:pPr>
        <w:numPr>
          <w:ilvl w:val="0"/>
          <w:numId w:val="2"/>
        </w:numPr>
        <w:ind w:left="1134" w:hanging="283"/>
        <w:jc w:val="both"/>
        <w:rPr>
          <w:u w:val="single"/>
        </w:rPr>
      </w:pPr>
      <w:r>
        <w:t xml:space="preserve">investeeringu või tegevusega seotud arved, kusjuures </w:t>
      </w:r>
      <w:r w:rsidRPr="000A74CE">
        <w:rPr>
          <w:color w:val="000000" w:themeColor="text1"/>
          <w:u w:val="single"/>
        </w:rPr>
        <w:t>arve saaja/maksja peab olema toetuse saaja</w:t>
      </w:r>
      <w:r w:rsidRPr="000A74CE">
        <w:rPr>
          <w:u w:val="single"/>
        </w:rPr>
        <w:t>;</w:t>
      </w:r>
    </w:p>
    <w:p w14:paraId="47643FED" w14:textId="77777777" w:rsidR="00A72DD3" w:rsidRPr="00B3144D" w:rsidRDefault="084C6E16" w:rsidP="084C6E16">
      <w:pPr>
        <w:numPr>
          <w:ilvl w:val="0"/>
          <w:numId w:val="2"/>
        </w:numPr>
        <w:ind w:left="1134" w:hanging="283"/>
        <w:jc w:val="both"/>
      </w:pPr>
      <w:r>
        <w:lastRenderedPageBreak/>
        <w:t>arve aluseks olevad hinnapakkumised;</w:t>
      </w:r>
    </w:p>
    <w:p w14:paraId="37AFA6F6" w14:textId="77777777" w:rsidR="00A72DD3" w:rsidRPr="00B3144D" w:rsidRDefault="084C6E16" w:rsidP="084C6E16">
      <w:pPr>
        <w:numPr>
          <w:ilvl w:val="0"/>
          <w:numId w:val="2"/>
        </w:numPr>
        <w:ind w:left="1134" w:hanging="283"/>
        <w:jc w:val="both"/>
      </w:pPr>
      <w:r w:rsidRPr="084C6E16">
        <w:rPr>
          <w:color w:val="000000" w:themeColor="text1"/>
        </w:rPr>
        <w:t>maksekorraldused.</w:t>
      </w:r>
    </w:p>
    <w:p w14:paraId="71DF8BBB" w14:textId="77777777" w:rsidR="00A72DD3" w:rsidRPr="00B3144D" w:rsidRDefault="00A72DD3">
      <w:pPr>
        <w:ind w:left="360"/>
        <w:jc w:val="both"/>
      </w:pPr>
      <w:r w:rsidRPr="00B3144D">
        <w:rPr>
          <w:color w:val="000000"/>
          <w:u w:val="single"/>
        </w:rPr>
        <w:t>Lisaks:</w:t>
      </w:r>
    </w:p>
    <w:p w14:paraId="4560B287" w14:textId="51090F6E" w:rsidR="00A72DD3" w:rsidRDefault="084C6E16" w:rsidP="084C6E16">
      <w:pPr>
        <w:numPr>
          <w:ilvl w:val="0"/>
          <w:numId w:val="2"/>
        </w:numPr>
        <w:ind w:left="1134" w:hanging="283"/>
        <w:jc w:val="both"/>
      </w:pPr>
      <w:r>
        <w:t>ehituse puhul taotleja ja ehitaja poolt allkirjastatud üleandmise-vastuvõtmise akt.</w:t>
      </w:r>
    </w:p>
    <w:p w14:paraId="4B99056E" w14:textId="77777777" w:rsidR="0055712E" w:rsidRPr="00B3144D" w:rsidRDefault="0055712E" w:rsidP="0055712E">
      <w:pPr>
        <w:ind w:left="1134"/>
        <w:jc w:val="both"/>
      </w:pPr>
    </w:p>
    <w:p w14:paraId="0438BB99" w14:textId="77777777" w:rsidR="008A5985" w:rsidRPr="008A5985" w:rsidRDefault="008A5985">
      <w:pPr>
        <w:jc w:val="both"/>
        <w:rPr>
          <w:b/>
          <w:bCs/>
          <w:u w:val="single"/>
        </w:rPr>
      </w:pPr>
      <w:r w:rsidRPr="008A5985">
        <w:rPr>
          <w:b/>
          <w:bCs/>
          <w:u w:val="single"/>
        </w:rPr>
        <w:t>TOETUSE SAAJA KOHUSTUSED</w:t>
      </w:r>
    </w:p>
    <w:p w14:paraId="3B0D7B7C" w14:textId="77777777" w:rsidR="008A5985" w:rsidRDefault="0055712E" w:rsidP="0055712E">
      <w:pPr>
        <w:numPr>
          <w:ilvl w:val="0"/>
          <w:numId w:val="11"/>
        </w:numPr>
        <w:jc w:val="both"/>
      </w:pPr>
      <w:r>
        <w:t>P</w:t>
      </w:r>
      <w:r w:rsidR="008A5985">
        <w:t xml:space="preserve">rojektitoetuse kasutamisega seotud kulud ning neid kajastavad kulu- ja maksedokumendid </w:t>
      </w:r>
      <w:r w:rsidR="008A5985" w:rsidRPr="008A5985">
        <w:rPr>
          <w:u w:val="single"/>
        </w:rPr>
        <w:t>tuleb selgelt oma raamatupidamises muudest kulu- ja maksedokumentidest eristada</w:t>
      </w:r>
      <w:r w:rsidR="008A5985">
        <w:rPr>
          <w:u w:val="single"/>
        </w:rPr>
        <w:t>;</w:t>
      </w:r>
    </w:p>
    <w:p w14:paraId="5632F925" w14:textId="77777777" w:rsidR="008A5985" w:rsidRDefault="008A5985" w:rsidP="0055712E">
      <w:pPr>
        <w:numPr>
          <w:ilvl w:val="0"/>
          <w:numId w:val="11"/>
        </w:numPr>
        <w:jc w:val="both"/>
      </w:pPr>
      <w:r>
        <w:t xml:space="preserve">Toetuse saaja peab võimaldama teostada projektitoetuse sihipärase ja tähtaegse kasutamise üle järelevalvet ja muid toetuse saamisega seotud kontrolle ning osutama selleks igakülgset abi, sealhulgas võimaldama viibida projektitoetuse saaja kinnisasjal, ehitises ja ruumis ning läbi vaadata dokumente ja toetuse abil ostetud vara kohapeal; </w:t>
      </w:r>
    </w:p>
    <w:p w14:paraId="6DFA4EF1" w14:textId="77777777" w:rsidR="00C61DCA" w:rsidRDefault="34D5B5C8" w:rsidP="0055712E">
      <w:pPr>
        <w:numPr>
          <w:ilvl w:val="0"/>
          <w:numId w:val="11"/>
        </w:numPr>
        <w:jc w:val="both"/>
        <w:rPr>
          <w:color w:val="000000"/>
        </w:rPr>
      </w:pPr>
      <w:r>
        <w:t xml:space="preserve">Kui projektitoetuse saaja on saanud toetust käibemaksu kohta, peab ta teavitama PRIAt viivitamata kirjalikult käibemaksukohustuslaseks registreerimisest käibemaksuseaduse § 20 alusel kuni viie aasta jooksul arvates PRIA poolt viimase toetusosa väljamaksmisest. </w:t>
      </w:r>
    </w:p>
    <w:p w14:paraId="66992AFA" w14:textId="00CA3495" w:rsidR="008A5985" w:rsidRPr="00B3144D" w:rsidRDefault="008A5985" w:rsidP="34D5B5C8">
      <w:pPr>
        <w:jc w:val="both"/>
        <w:rPr>
          <w:b/>
          <w:bCs/>
          <w:color w:val="000000" w:themeColor="text1"/>
          <w:u w:val="single"/>
        </w:rPr>
      </w:pPr>
    </w:p>
    <w:p w14:paraId="42D0D36F" w14:textId="77777777" w:rsidR="008A5985" w:rsidRPr="00B3144D" w:rsidRDefault="34D5B5C8" w:rsidP="34D5B5C8">
      <w:pPr>
        <w:jc w:val="both"/>
        <w:rPr>
          <w:b/>
          <w:bCs/>
          <w:color w:val="000000" w:themeColor="text1"/>
          <w:u w:val="single"/>
        </w:rPr>
      </w:pPr>
      <w:r w:rsidRPr="34D5B5C8">
        <w:rPr>
          <w:b/>
          <w:bCs/>
          <w:color w:val="000000" w:themeColor="text1"/>
          <w:u w:val="single"/>
        </w:rPr>
        <w:t>PROJEKTI TEGEVUSTEST TEAVITAMINE</w:t>
      </w:r>
    </w:p>
    <w:p w14:paraId="733F31BB" w14:textId="77777777" w:rsidR="008A5985" w:rsidRPr="00B3144D" w:rsidRDefault="34D5B5C8">
      <w:pPr>
        <w:jc w:val="both"/>
      </w:pPr>
      <w:r>
        <w:t>Tegevuste elluviimisel teavitamiseks vajalikud logod ja täidetavad tahvlite põhjad leiad:</w:t>
      </w:r>
    </w:p>
    <w:p w14:paraId="3CC45556" w14:textId="77777777" w:rsidR="008A5985" w:rsidRPr="00B3144D" w:rsidRDefault="00B5506B">
      <w:pPr>
        <w:jc w:val="both"/>
      </w:pPr>
      <w:hyperlink r:id="rId11">
        <w:r w:rsidR="34D5B5C8" w:rsidRPr="34D5B5C8">
          <w:rPr>
            <w:rStyle w:val="Hyperlink"/>
          </w:rPr>
          <w:t>https://skk.ee/leader/taotlemine-ja-taotluste-menetlemine/</w:t>
        </w:r>
      </w:hyperlink>
      <w:r w:rsidR="34D5B5C8">
        <w:t xml:space="preserve"> - Tegevuste elluviimisel vajalikud vormid.</w:t>
      </w:r>
    </w:p>
    <w:p w14:paraId="78D4BAEA" w14:textId="4EC8B0C5" w:rsidR="008A5985" w:rsidRPr="00B3144D" w:rsidRDefault="34D5B5C8" w:rsidP="34D5B5C8">
      <w:pPr>
        <w:numPr>
          <w:ilvl w:val="0"/>
          <w:numId w:val="6"/>
        </w:numPr>
        <w:ind w:left="850" w:hanging="283"/>
        <w:jc w:val="both"/>
      </w:pPr>
      <w:r w:rsidRPr="34D5B5C8">
        <w:rPr>
          <w:b/>
          <w:bCs/>
          <w:u w:val="single"/>
        </w:rPr>
        <w:t xml:space="preserve">Juhul kui toetuse saajal on olemas veebileht, </w:t>
      </w:r>
      <w:r>
        <w:t xml:space="preserve">siis tuleb veebilehel avalikustada info projekti kohta. </w:t>
      </w:r>
      <w:r w:rsidRPr="34D5B5C8">
        <w:rPr>
          <w:u w:val="single"/>
        </w:rPr>
        <w:t>PRIA kontrollib nõude täitmist esimese maksetaotluse esitamisel.</w:t>
      </w:r>
      <w:r>
        <w:t xml:space="preserve"> Veebilehel tuleb lisaks logole ja embleemile avaldada objekti või tegevuse lühikirjeldus. Kui toetus ületab 10000 eurot, siis tuleb objekti või tegevuse lühikirjelduses kirjeldada ka eesmärke ja oodatavaid tulemusi.</w:t>
      </w:r>
    </w:p>
    <w:p w14:paraId="38C8B543" w14:textId="77777777" w:rsidR="008A5985" w:rsidRPr="00B3144D" w:rsidRDefault="34D5B5C8" w:rsidP="34D5B5C8">
      <w:pPr>
        <w:numPr>
          <w:ilvl w:val="0"/>
          <w:numId w:val="6"/>
        </w:numPr>
        <w:ind w:left="850" w:hanging="283"/>
        <w:jc w:val="both"/>
      </w:pPr>
      <w:r w:rsidRPr="34D5B5C8">
        <w:rPr>
          <w:b/>
          <w:bCs/>
          <w:color w:val="000000" w:themeColor="text1"/>
          <w:u w:val="single"/>
        </w:rPr>
        <w:t>Investeeringuprojekt tuleb tähistada kohe peale investeeringu tegemist.</w:t>
      </w:r>
    </w:p>
    <w:p w14:paraId="3A691B03" w14:textId="77777777" w:rsidR="008A5985" w:rsidRPr="00B3144D" w:rsidRDefault="34D5B5C8" w:rsidP="34D5B5C8">
      <w:pPr>
        <w:ind w:left="850"/>
        <w:jc w:val="both"/>
      </w:pPr>
      <w:r w:rsidRPr="34D5B5C8">
        <w:rPr>
          <w:color w:val="000000" w:themeColor="text1"/>
          <w:u w:val="single"/>
        </w:rPr>
        <w:t xml:space="preserve">Kui investeeringu suurus ületab 10000 eur, peab teavituse tahvli suurus olema vähemalt formaadis A3. </w:t>
      </w:r>
      <w:r w:rsidRPr="34D5B5C8">
        <w:rPr>
          <w:color w:val="000000" w:themeColor="text1"/>
        </w:rPr>
        <w:t>Tähistus paigaldatakse kergesti märgatavale kohale, ta peab olema selgelt nähtav ning säilima vähemalt 3 aastat peale PRIA poolt viimase toetusosa väljamaksmist.</w:t>
      </w:r>
    </w:p>
    <w:p w14:paraId="1CC08DA6" w14:textId="77777777" w:rsidR="008A5985" w:rsidRPr="00B3144D" w:rsidRDefault="34D5B5C8" w:rsidP="34D5B5C8">
      <w:pPr>
        <w:ind w:left="850"/>
        <w:jc w:val="both"/>
        <w:rPr>
          <w:color w:val="000000" w:themeColor="text1"/>
        </w:rPr>
      </w:pPr>
      <w:r w:rsidRPr="34D5B5C8">
        <w:rPr>
          <w:color w:val="000000" w:themeColor="text1"/>
          <w:u w:val="single"/>
        </w:rPr>
        <w:t>Tähistatud peavad olema ka flaierid, ajalehekuulutused jms.</w:t>
      </w:r>
      <w:r w:rsidRPr="34D5B5C8">
        <w:rPr>
          <w:color w:val="000000" w:themeColor="text1"/>
        </w:rPr>
        <w:t xml:space="preserve"> </w:t>
      </w:r>
    </w:p>
    <w:p w14:paraId="1C0AD5E2" w14:textId="21CB99FA" w:rsidR="008A5985" w:rsidRPr="00B3144D" w:rsidRDefault="34D5B5C8" w:rsidP="34D5B5C8">
      <w:pPr>
        <w:ind w:left="850"/>
        <w:jc w:val="both"/>
        <w:rPr>
          <w:color w:val="000000" w:themeColor="text1"/>
        </w:rPr>
      </w:pPr>
      <w:r w:rsidRPr="34D5B5C8">
        <w:rPr>
          <w:color w:val="000000" w:themeColor="text1"/>
        </w:rPr>
        <w:t xml:space="preserve">Info logode ja nende kasutamise kohta leiad ka Maaeluministeeriumi aadressilt: </w:t>
      </w:r>
      <w:hyperlink r:id="rId12">
        <w:r w:rsidRPr="34D5B5C8">
          <w:rPr>
            <w:rStyle w:val="Hyperlink"/>
          </w:rPr>
          <w:t>http://www.agri.ee/leader-logo/</w:t>
        </w:r>
      </w:hyperlink>
    </w:p>
    <w:p w14:paraId="1299C43A" w14:textId="2F1F4A4E" w:rsidR="008A5985" w:rsidRPr="00B3144D" w:rsidRDefault="008A5985" w:rsidP="34D5B5C8">
      <w:pPr>
        <w:jc w:val="both"/>
        <w:rPr>
          <w:color w:val="000000"/>
        </w:rPr>
      </w:pPr>
    </w:p>
    <w:p w14:paraId="53D604B4" w14:textId="77777777" w:rsidR="00386C2C" w:rsidRDefault="00A72DD3">
      <w:pPr>
        <w:pBdr>
          <w:top w:val="single" w:sz="4" w:space="1" w:color="000000"/>
          <w:left w:val="single" w:sz="4" w:space="4" w:color="000000"/>
          <w:bottom w:val="single" w:sz="4" w:space="1" w:color="000000"/>
          <w:right w:val="single" w:sz="4" w:space="4" w:color="000000"/>
        </w:pBdr>
        <w:jc w:val="both"/>
        <w:rPr>
          <w:b/>
          <w:bCs/>
          <w:color w:val="000000"/>
        </w:rPr>
      </w:pPr>
      <w:r w:rsidRPr="00B3144D">
        <w:rPr>
          <w:b/>
          <w:bCs/>
          <w:color w:val="000000"/>
        </w:rPr>
        <w:t xml:space="preserve">Projekti toel soetatud seadmeid/renoveeritud ruume jne tuleb kasutada </w:t>
      </w:r>
      <w:r w:rsidR="000E242C" w:rsidRPr="00B3144D">
        <w:rPr>
          <w:b/>
          <w:bCs/>
          <w:color w:val="000000"/>
        </w:rPr>
        <w:t xml:space="preserve">sihtotstarbeliselt vähemalt </w:t>
      </w:r>
      <w:r w:rsidR="008C079F" w:rsidRPr="00390587">
        <w:rPr>
          <w:b/>
          <w:bCs/>
          <w:color w:val="000000"/>
          <w:u w:val="single"/>
        </w:rPr>
        <w:t>PRIA otsuses välja toodud kohustusperioodi jooksul</w:t>
      </w:r>
      <w:r w:rsidR="00854FD5">
        <w:rPr>
          <w:b/>
          <w:bCs/>
          <w:color w:val="000000"/>
        </w:rPr>
        <w:t xml:space="preserve"> -</w:t>
      </w:r>
      <w:r w:rsidR="008C079F">
        <w:rPr>
          <w:b/>
          <w:bCs/>
          <w:color w:val="000000"/>
        </w:rPr>
        <w:t xml:space="preserve"> </w:t>
      </w:r>
      <w:r w:rsidR="008C079F" w:rsidRPr="00854FD5">
        <w:rPr>
          <w:color w:val="000000"/>
        </w:rPr>
        <w:t xml:space="preserve">VKE puhul </w:t>
      </w:r>
      <w:r w:rsidR="00386C2C" w:rsidRPr="00854FD5">
        <w:rPr>
          <w:color w:val="000000"/>
        </w:rPr>
        <w:t>kolm</w:t>
      </w:r>
      <w:r w:rsidRPr="00854FD5">
        <w:rPr>
          <w:color w:val="000000"/>
        </w:rPr>
        <w:t xml:space="preserve"> järgnevat aastat </w:t>
      </w:r>
      <w:r w:rsidR="00854FD5" w:rsidRPr="00854FD5">
        <w:rPr>
          <w:color w:val="000000"/>
        </w:rPr>
        <w:t xml:space="preserve">ning </w:t>
      </w:r>
      <w:r w:rsidR="00854FD5" w:rsidRPr="00854FD5">
        <w:t>viis aastat kui projektitoetuse saaja ei ole VKE</w:t>
      </w:r>
      <w:r w:rsidR="00854FD5">
        <w:t>,</w:t>
      </w:r>
      <w:r w:rsidR="00854FD5" w:rsidRPr="00854FD5">
        <w:rPr>
          <w:color w:val="000000"/>
        </w:rPr>
        <w:t xml:space="preserve"> </w:t>
      </w:r>
      <w:r w:rsidRPr="00854FD5">
        <w:rPr>
          <w:color w:val="000000"/>
        </w:rPr>
        <w:t>arvates PRIA poolt viimase toetusosa väljamaksmisest.</w:t>
      </w:r>
      <w:r w:rsidRPr="00B3144D">
        <w:rPr>
          <w:b/>
          <w:bCs/>
          <w:color w:val="000000"/>
        </w:rPr>
        <w:t xml:space="preserve"> </w:t>
      </w:r>
    </w:p>
    <w:p w14:paraId="76A13349" w14:textId="77777777" w:rsidR="00A72DD3" w:rsidRPr="00B3144D" w:rsidRDefault="00A72DD3">
      <w:pPr>
        <w:pBdr>
          <w:top w:val="single" w:sz="4" w:space="1" w:color="000000"/>
          <w:left w:val="single" w:sz="4" w:space="4" w:color="000000"/>
          <w:bottom w:val="single" w:sz="4" w:space="1" w:color="000000"/>
          <w:right w:val="single" w:sz="4" w:space="4" w:color="000000"/>
        </w:pBdr>
        <w:jc w:val="both"/>
      </w:pPr>
      <w:r w:rsidRPr="00B3144D">
        <w:rPr>
          <w:b/>
          <w:bCs/>
          <w:color w:val="000000"/>
        </w:rPr>
        <w:t xml:space="preserve">Muudatuste (nt seadme hävimine vms) korral tuleb kindlasti PRIA-t teavitada. Samuti tuleb PRIA-t teavitada juhul kui seadme/hoone omanik muutub enne </w:t>
      </w:r>
      <w:r w:rsidR="00386C2C">
        <w:rPr>
          <w:b/>
          <w:bCs/>
          <w:color w:val="000000"/>
        </w:rPr>
        <w:t>3</w:t>
      </w:r>
      <w:r w:rsidRPr="00B3144D">
        <w:rPr>
          <w:b/>
          <w:bCs/>
          <w:color w:val="000000"/>
        </w:rPr>
        <w:t xml:space="preserve">-aastaste tähtaja täitumist. Juhul kui seadme/hoone omanik muutub, on soovitav </w:t>
      </w:r>
      <w:r w:rsidRPr="00B3144D">
        <w:rPr>
          <w:b/>
          <w:bCs/>
          <w:color w:val="000000"/>
        </w:rPr>
        <w:lastRenderedPageBreak/>
        <w:t>lepingusse lisada punkt, et uus omanik võtab üle kõik projektiga seotud kohustused (sh dokumentide säilitamise ning sihtotstarbelise kasutuse kohustus).</w:t>
      </w:r>
    </w:p>
    <w:p w14:paraId="4DDBEF00" w14:textId="77777777" w:rsidR="00A72DD3" w:rsidRPr="00B3144D" w:rsidRDefault="00A72DD3">
      <w:pPr>
        <w:tabs>
          <w:tab w:val="center" w:pos="4320"/>
        </w:tabs>
        <w:rPr>
          <w:b/>
          <w:color w:val="000000"/>
        </w:rPr>
      </w:pPr>
    </w:p>
    <w:p w14:paraId="15C898DC" w14:textId="77777777" w:rsidR="00CB7EC7" w:rsidRDefault="00CB7EC7" w:rsidP="00CB7EC7">
      <w:pPr>
        <w:widowControl w:val="0"/>
        <w:jc w:val="both"/>
        <w:rPr>
          <w:b/>
          <w:bCs/>
        </w:rPr>
      </w:pPr>
      <w:r w:rsidRPr="006917ED">
        <w:rPr>
          <w:bCs/>
          <w:color w:val="00000A"/>
        </w:rPr>
        <w:t>P.</w:t>
      </w:r>
      <w:r>
        <w:rPr>
          <w:bCs/>
          <w:color w:val="00000A"/>
        </w:rPr>
        <w:t>S</w:t>
      </w:r>
      <w:r w:rsidRPr="006917ED">
        <w:rPr>
          <w:bCs/>
          <w:color w:val="00000A"/>
        </w:rPr>
        <w:t xml:space="preserve">. </w:t>
      </w:r>
      <w:r>
        <w:rPr>
          <w:bCs/>
          <w:color w:val="00000A"/>
        </w:rPr>
        <w:t xml:space="preserve"> </w:t>
      </w:r>
      <w:r w:rsidR="00507A1A">
        <w:rPr>
          <w:bCs/>
          <w:color w:val="00000A"/>
        </w:rPr>
        <w:t>Kinnituskirjale</w:t>
      </w:r>
      <w:r>
        <w:rPr>
          <w:bCs/>
          <w:color w:val="00000A"/>
        </w:rPr>
        <w:t xml:space="preserve"> lisame PRIA pool</w:t>
      </w:r>
      <w:r w:rsidR="00270B47">
        <w:rPr>
          <w:bCs/>
          <w:color w:val="00000A"/>
        </w:rPr>
        <w:t>t koostatud</w:t>
      </w:r>
      <w:r>
        <w:rPr>
          <w:bCs/>
          <w:color w:val="00000A"/>
        </w:rPr>
        <w:t xml:space="preserve"> juhendi põhivarade ja väikevahendite käsitlemise osas, millega soovitame tutvuda, kuna </w:t>
      </w:r>
      <w:r w:rsidRPr="00CB7EC7">
        <w:rPr>
          <w:b/>
          <w:bCs/>
        </w:rPr>
        <w:t xml:space="preserve">abikõlblik </w:t>
      </w:r>
      <w:r w:rsidR="00270B47">
        <w:rPr>
          <w:b/>
          <w:bCs/>
        </w:rPr>
        <w:t xml:space="preserve">on </w:t>
      </w:r>
      <w:r w:rsidRPr="00CB7EC7">
        <w:rPr>
          <w:b/>
          <w:bCs/>
        </w:rPr>
        <w:t>masina, seadme, sisseseade või muu põhivara ostmise, liisimise ja paigaldamise kulu, aga mitte väikevahendite soetus.</w:t>
      </w:r>
      <w:r w:rsidR="004E3B37">
        <w:rPr>
          <w:b/>
          <w:bCs/>
        </w:rPr>
        <w:t xml:space="preserve"> </w:t>
      </w:r>
    </w:p>
    <w:p w14:paraId="3CF2D8B6" w14:textId="77777777" w:rsidR="00270B47" w:rsidRPr="00CB7EC7" w:rsidRDefault="00270B47" w:rsidP="00CB7EC7">
      <w:pPr>
        <w:widowControl w:val="0"/>
        <w:jc w:val="both"/>
        <w:rPr>
          <w:b/>
          <w:bCs/>
        </w:rPr>
      </w:pPr>
    </w:p>
    <w:p w14:paraId="0819FFBB" w14:textId="7E79B405" w:rsidR="00CB7EC7" w:rsidRDefault="084C6E16">
      <w:pPr>
        <w:tabs>
          <w:tab w:val="center" w:pos="4320"/>
        </w:tabs>
        <w:jc w:val="both"/>
        <w:rPr>
          <w:color w:val="000000"/>
        </w:rPr>
      </w:pPr>
      <w:r w:rsidRPr="084C6E16">
        <w:rPr>
          <w:color w:val="000000" w:themeColor="text1"/>
        </w:rPr>
        <w:t>Vajadusel küsi nõu või abi SKK kontorist (</w:t>
      </w:r>
      <w:r w:rsidR="000A74CE">
        <w:rPr>
          <w:color w:val="000000" w:themeColor="text1"/>
        </w:rPr>
        <w:t>Torni tn 1, Kuressaares</w:t>
      </w:r>
      <w:r w:rsidR="00C27F7F">
        <w:rPr>
          <w:color w:val="000000" w:themeColor="text1"/>
        </w:rPr>
        <w:t>, II korrus</w:t>
      </w:r>
      <w:r w:rsidRPr="084C6E16">
        <w:rPr>
          <w:color w:val="000000" w:themeColor="text1"/>
        </w:rPr>
        <w:t xml:space="preserve">). Lepi SKK töötajatega enne kokku kokkusaamise aeg, saates e-kiri aadressile </w:t>
      </w:r>
      <w:r w:rsidRPr="084C6E16">
        <w:rPr>
          <w:color w:val="0000FF"/>
        </w:rPr>
        <w:t xml:space="preserve">info@skk.ee </w:t>
      </w:r>
      <w:r w:rsidRPr="084C6E16">
        <w:rPr>
          <w:color w:val="000000" w:themeColor="text1"/>
        </w:rPr>
        <w:t>või helistades: Terje Aus +372 513 8767</w:t>
      </w:r>
      <w:r w:rsidR="00C27F7F">
        <w:rPr>
          <w:color w:val="000000" w:themeColor="text1"/>
        </w:rPr>
        <w:t xml:space="preserve"> või Sulvi Munk +37267210102.</w:t>
      </w:r>
    </w:p>
    <w:p w14:paraId="0FB78278" w14:textId="77777777" w:rsidR="008E2628" w:rsidRDefault="008E2628">
      <w:pPr>
        <w:tabs>
          <w:tab w:val="center" w:pos="4320"/>
        </w:tabs>
        <w:jc w:val="both"/>
        <w:rPr>
          <w:color w:val="000000"/>
        </w:rPr>
      </w:pPr>
    </w:p>
    <w:p w14:paraId="23562ED7" w14:textId="77777777" w:rsidR="008E2628" w:rsidRPr="00F6514B" w:rsidRDefault="008E2628">
      <w:pPr>
        <w:tabs>
          <w:tab w:val="center" w:pos="4320"/>
        </w:tabs>
        <w:jc w:val="both"/>
        <w:rPr>
          <w:rFonts w:ascii="Calibri" w:hAnsi="Calibri" w:cs="Calibri"/>
          <w:sz w:val="22"/>
          <w:szCs w:val="22"/>
        </w:rPr>
      </w:pPr>
      <w:r>
        <w:rPr>
          <w:color w:val="000000"/>
        </w:rPr>
        <w:t>EDU TEGEVUSTE ELLUVIIMISEL!!!</w:t>
      </w:r>
    </w:p>
    <w:sectPr w:rsidR="008E2628" w:rsidRPr="00F6514B">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6144" w14:textId="77777777" w:rsidR="00B5506B" w:rsidRDefault="00B5506B">
      <w:r>
        <w:separator/>
      </w:r>
    </w:p>
  </w:endnote>
  <w:endnote w:type="continuationSeparator" w:id="0">
    <w:p w14:paraId="14D961DC" w14:textId="77777777" w:rsidR="00B5506B" w:rsidRDefault="00B5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0249" w14:textId="77777777" w:rsidR="00B5506B" w:rsidRDefault="00B5506B">
      <w:r>
        <w:separator/>
      </w:r>
    </w:p>
  </w:footnote>
  <w:footnote w:type="continuationSeparator" w:id="0">
    <w:p w14:paraId="086F065C" w14:textId="77777777" w:rsidR="00B5506B" w:rsidRDefault="00B5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AACC" w14:textId="77777777" w:rsidR="00A72DD3" w:rsidRDefault="003C6867">
    <w:pPr>
      <w:pStyle w:val="Header"/>
      <w:rPr>
        <w:lang w:eastAsia="ja-JP"/>
      </w:rPr>
    </w:pPr>
    <w:r>
      <w:rPr>
        <w:noProof/>
      </w:rPr>
      <w:drawing>
        <wp:anchor distT="0" distB="0" distL="0" distR="0" simplePos="0" relativeHeight="251657216" behindDoc="0" locked="0" layoutInCell="1" allowOverlap="1" wp14:anchorId="269810AF" wp14:editId="07777777">
          <wp:simplePos x="0" y="0"/>
          <wp:positionH relativeFrom="column">
            <wp:posOffset>3804920</wp:posOffset>
          </wp:positionH>
          <wp:positionV relativeFrom="paragraph">
            <wp:posOffset>5080</wp:posOffset>
          </wp:positionV>
          <wp:extent cx="1673225" cy="415290"/>
          <wp:effectExtent l="0" t="0" r="0" b="0"/>
          <wp:wrapSquare wrapText="largest"/>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15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5A5A1D6C" wp14:editId="07777777">
          <wp:simplePos x="0" y="0"/>
          <wp:positionH relativeFrom="column">
            <wp:posOffset>0</wp:posOffset>
          </wp:positionH>
          <wp:positionV relativeFrom="paragraph">
            <wp:posOffset>5080</wp:posOffset>
          </wp:positionV>
          <wp:extent cx="1739900" cy="372745"/>
          <wp:effectExtent l="0" t="0" r="0" b="0"/>
          <wp:wrapSquare wrapText="larges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3727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kuul"/>
      <w:lvlText w:val=""/>
      <w:lvlJc w:val="left"/>
      <w:pPr>
        <w:tabs>
          <w:tab w:val="num" w:pos="360"/>
        </w:tabs>
        <w:ind w:left="284" w:hanging="284"/>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080" w:hanging="360"/>
      </w:pPr>
      <w:rPr>
        <w:rFonts w:ascii="Symbol" w:hAnsi="Symbol" w:cs="Symbol" w:hint="default"/>
      </w:rPr>
    </w:lvl>
  </w:abstractNum>
  <w:abstractNum w:abstractNumId="4" w15:restartNumberingAfterBreak="0">
    <w:nsid w:val="00000005"/>
    <w:multiLevelType w:val="singleLevel"/>
    <w:tmpl w:val="00000007"/>
    <w:lvl w:ilvl="0">
      <w:start w:val="5"/>
      <w:numFmt w:val="bullet"/>
      <w:lvlText w:val="-"/>
      <w:lvlJc w:val="left"/>
      <w:pPr>
        <w:ind w:left="720" w:hanging="360"/>
      </w:pPr>
      <w:rPr>
        <w:rFonts w:ascii="Georgia" w:hAnsi="Georgia" w:cs="Georgia" w:hint="default"/>
        <w:color w:val="000000"/>
        <w:sz w:val="20"/>
        <w:szCs w:val="20"/>
      </w:rPr>
    </w:lvl>
  </w:abstractNum>
  <w:abstractNum w:abstractNumId="5" w15:restartNumberingAfterBreak="0">
    <w:nsid w:val="00000006"/>
    <w:multiLevelType w:val="multilevel"/>
    <w:tmpl w:val="00000006"/>
    <w:name w:val="WW8Num7"/>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6" w15:restartNumberingAfterBreak="0">
    <w:nsid w:val="00000007"/>
    <w:multiLevelType w:val="singleLevel"/>
    <w:tmpl w:val="00000007"/>
    <w:name w:val="WW8Num8"/>
    <w:lvl w:ilvl="0">
      <w:start w:val="5"/>
      <w:numFmt w:val="bullet"/>
      <w:lvlText w:val="-"/>
      <w:lvlJc w:val="left"/>
      <w:pPr>
        <w:tabs>
          <w:tab w:val="num" w:pos="0"/>
        </w:tabs>
        <w:ind w:left="1854" w:hanging="360"/>
      </w:pPr>
      <w:rPr>
        <w:rFonts w:ascii="Georgia" w:hAnsi="Georgia" w:cs="Georgia" w:hint="default"/>
        <w:sz w:val="20"/>
      </w:rPr>
    </w:lvl>
  </w:abstractNum>
  <w:abstractNum w:abstractNumId="7" w15:restartNumberingAfterBreak="0">
    <w:nsid w:val="32B33B13"/>
    <w:multiLevelType w:val="hybridMultilevel"/>
    <w:tmpl w:val="117E8F52"/>
    <w:lvl w:ilvl="0" w:tplc="B0E84714">
      <w:start w:val="1"/>
      <w:numFmt w:val="bullet"/>
      <w:lvlText w:val=""/>
      <w:lvlJc w:val="left"/>
      <w:pPr>
        <w:ind w:left="720" w:hanging="360"/>
      </w:pPr>
      <w:rPr>
        <w:rFonts w:ascii="Symbol" w:hAnsi="Symbol" w:hint="default"/>
      </w:rPr>
    </w:lvl>
    <w:lvl w:ilvl="1" w:tplc="5C8E519A">
      <w:start w:val="1"/>
      <w:numFmt w:val="bullet"/>
      <w:lvlText w:val="o"/>
      <w:lvlJc w:val="left"/>
      <w:pPr>
        <w:ind w:left="1440" w:hanging="360"/>
      </w:pPr>
      <w:rPr>
        <w:rFonts w:ascii="Courier New" w:hAnsi="Courier New" w:hint="default"/>
      </w:rPr>
    </w:lvl>
    <w:lvl w:ilvl="2" w:tplc="FC8290AE">
      <w:start w:val="1"/>
      <w:numFmt w:val="bullet"/>
      <w:lvlText w:val=""/>
      <w:lvlJc w:val="left"/>
      <w:pPr>
        <w:ind w:left="2160" w:hanging="360"/>
      </w:pPr>
      <w:rPr>
        <w:rFonts w:ascii="Wingdings" w:hAnsi="Wingdings" w:hint="default"/>
      </w:rPr>
    </w:lvl>
    <w:lvl w:ilvl="3" w:tplc="E8F815AE">
      <w:start w:val="1"/>
      <w:numFmt w:val="bullet"/>
      <w:lvlText w:val=""/>
      <w:lvlJc w:val="left"/>
      <w:pPr>
        <w:ind w:left="2880" w:hanging="360"/>
      </w:pPr>
      <w:rPr>
        <w:rFonts w:ascii="Symbol" w:hAnsi="Symbol" w:hint="default"/>
      </w:rPr>
    </w:lvl>
    <w:lvl w:ilvl="4" w:tplc="1C4E4D1C">
      <w:start w:val="1"/>
      <w:numFmt w:val="bullet"/>
      <w:lvlText w:val="o"/>
      <w:lvlJc w:val="left"/>
      <w:pPr>
        <w:ind w:left="3600" w:hanging="360"/>
      </w:pPr>
      <w:rPr>
        <w:rFonts w:ascii="Courier New" w:hAnsi="Courier New" w:hint="default"/>
      </w:rPr>
    </w:lvl>
    <w:lvl w:ilvl="5" w:tplc="B9687648">
      <w:start w:val="1"/>
      <w:numFmt w:val="bullet"/>
      <w:lvlText w:val=""/>
      <w:lvlJc w:val="left"/>
      <w:pPr>
        <w:ind w:left="4320" w:hanging="360"/>
      </w:pPr>
      <w:rPr>
        <w:rFonts w:ascii="Wingdings" w:hAnsi="Wingdings" w:hint="default"/>
      </w:rPr>
    </w:lvl>
    <w:lvl w:ilvl="6" w:tplc="3F96CE6A">
      <w:start w:val="1"/>
      <w:numFmt w:val="bullet"/>
      <w:lvlText w:val=""/>
      <w:lvlJc w:val="left"/>
      <w:pPr>
        <w:ind w:left="5040" w:hanging="360"/>
      </w:pPr>
      <w:rPr>
        <w:rFonts w:ascii="Symbol" w:hAnsi="Symbol" w:hint="default"/>
      </w:rPr>
    </w:lvl>
    <w:lvl w:ilvl="7" w:tplc="2F0C507E">
      <w:start w:val="1"/>
      <w:numFmt w:val="bullet"/>
      <w:lvlText w:val="o"/>
      <w:lvlJc w:val="left"/>
      <w:pPr>
        <w:ind w:left="5760" w:hanging="360"/>
      </w:pPr>
      <w:rPr>
        <w:rFonts w:ascii="Courier New" w:hAnsi="Courier New" w:hint="default"/>
      </w:rPr>
    </w:lvl>
    <w:lvl w:ilvl="8" w:tplc="768C3CCC">
      <w:start w:val="1"/>
      <w:numFmt w:val="bullet"/>
      <w:lvlText w:val=""/>
      <w:lvlJc w:val="left"/>
      <w:pPr>
        <w:ind w:left="6480" w:hanging="360"/>
      </w:pPr>
      <w:rPr>
        <w:rFonts w:ascii="Wingdings" w:hAnsi="Wingdings" w:hint="default"/>
      </w:rPr>
    </w:lvl>
  </w:abstractNum>
  <w:abstractNum w:abstractNumId="8" w15:restartNumberingAfterBreak="0">
    <w:nsid w:val="44715C22"/>
    <w:multiLevelType w:val="hybridMultilevel"/>
    <w:tmpl w:val="7FDC99B2"/>
    <w:lvl w:ilvl="0" w:tplc="EA102A8C">
      <w:start w:val="1"/>
      <w:numFmt w:val="bullet"/>
      <w:lvlText w:val=""/>
      <w:lvlJc w:val="left"/>
      <w:pPr>
        <w:ind w:left="720" w:hanging="360"/>
      </w:pPr>
      <w:rPr>
        <w:rFonts w:ascii="Symbol" w:hAnsi="Symbol" w:hint="default"/>
      </w:rPr>
    </w:lvl>
    <w:lvl w:ilvl="1" w:tplc="AD78767E">
      <w:start w:val="1"/>
      <w:numFmt w:val="bullet"/>
      <w:lvlText w:val="o"/>
      <w:lvlJc w:val="left"/>
      <w:pPr>
        <w:ind w:left="1440" w:hanging="360"/>
      </w:pPr>
      <w:rPr>
        <w:rFonts w:ascii="Courier New" w:hAnsi="Courier New" w:hint="default"/>
      </w:rPr>
    </w:lvl>
    <w:lvl w:ilvl="2" w:tplc="65CCADE4">
      <w:start w:val="1"/>
      <w:numFmt w:val="bullet"/>
      <w:lvlText w:val=""/>
      <w:lvlJc w:val="left"/>
      <w:pPr>
        <w:ind w:left="2160" w:hanging="360"/>
      </w:pPr>
      <w:rPr>
        <w:rFonts w:ascii="Wingdings" w:hAnsi="Wingdings" w:hint="default"/>
      </w:rPr>
    </w:lvl>
    <w:lvl w:ilvl="3" w:tplc="78BEB578">
      <w:start w:val="1"/>
      <w:numFmt w:val="bullet"/>
      <w:lvlText w:val=""/>
      <w:lvlJc w:val="left"/>
      <w:pPr>
        <w:ind w:left="2880" w:hanging="360"/>
      </w:pPr>
      <w:rPr>
        <w:rFonts w:ascii="Symbol" w:hAnsi="Symbol" w:hint="default"/>
      </w:rPr>
    </w:lvl>
    <w:lvl w:ilvl="4" w:tplc="3612AE18">
      <w:start w:val="1"/>
      <w:numFmt w:val="bullet"/>
      <w:lvlText w:val="o"/>
      <w:lvlJc w:val="left"/>
      <w:pPr>
        <w:ind w:left="3600" w:hanging="360"/>
      </w:pPr>
      <w:rPr>
        <w:rFonts w:ascii="Courier New" w:hAnsi="Courier New" w:hint="default"/>
      </w:rPr>
    </w:lvl>
    <w:lvl w:ilvl="5" w:tplc="6412A1CE">
      <w:start w:val="1"/>
      <w:numFmt w:val="bullet"/>
      <w:lvlText w:val=""/>
      <w:lvlJc w:val="left"/>
      <w:pPr>
        <w:ind w:left="4320" w:hanging="360"/>
      </w:pPr>
      <w:rPr>
        <w:rFonts w:ascii="Wingdings" w:hAnsi="Wingdings" w:hint="default"/>
      </w:rPr>
    </w:lvl>
    <w:lvl w:ilvl="6" w:tplc="F1FE3FD2">
      <w:start w:val="1"/>
      <w:numFmt w:val="bullet"/>
      <w:lvlText w:val=""/>
      <w:lvlJc w:val="left"/>
      <w:pPr>
        <w:ind w:left="5040" w:hanging="360"/>
      </w:pPr>
      <w:rPr>
        <w:rFonts w:ascii="Symbol" w:hAnsi="Symbol" w:hint="default"/>
      </w:rPr>
    </w:lvl>
    <w:lvl w:ilvl="7" w:tplc="E2C43E84">
      <w:start w:val="1"/>
      <w:numFmt w:val="bullet"/>
      <w:lvlText w:val="o"/>
      <w:lvlJc w:val="left"/>
      <w:pPr>
        <w:ind w:left="5760" w:hanging="360"/>
      </w:pPr>
      <w:rPr>
        <w:rFonts w:ascii="Courier New" w:hAnsi="Courier New" w:hint="default"/>
      </w:rPr>
    </w:lvl>
    <w:lvl w:ilvl="8" w:tplc="CAF0D626">
      <w:start w:val="1"/>
      <w:numFmt w:val="bullet"/>
      <w:lvlText w:val=""/>
      <w:lvlJc w:val="left"/>
      <w:pPr>
        <w:ind w:left="6480" w:hanging="360"/>
      </w:pPr>
      <w:rPr>
        <w:rFonts w:ascii="Wingdings" w:hAnsi="Wingdings" w:hint="default"/>
      </w:rPr>
    </w:lvl>
  </w:abstractNum>
  <w:abstractNum w:abstractNumId="9" w15:restartNumberingAfterBreak="0">
    <w:nsid w:val="524036A2"/>
    <w:multiLevelType w:val="hybridMultilevel"/>
    <w:tmpl w:val="4EE896FC"/>
    <w:lvl w:ilvl="0" w:tplc="00000007">
      <w:start w:val="5"/>
      <w:numFmt w:val="bullet"/>
      <w:lvlText w:val="-"/>
      <w:lvlJc w:val="left"/>
      <w:pPr>
        <w:ind w:left="1570" w:hanging="360"/>
      </w:pPr>
      <w:rPr>
        <w:rFonts w:ascii="Georgia" w:hAnsi="Georgia" w:cs="Georgia" w:hint="default"/>
        <w:sz w:val="20"/>
      </w:rPr>
    </w:lvl>
    <w:lvl w:ilvl="1" w:tplc="04250003" w:tentative="1">
      <w:start w:val="1"/>
      <w:numFmt w:val="bullet"/>
      <w:lvlText w:val="o"/>
      <w:lvlJc w:val="left"/>
      <w:pPr>
        <w:ind w:left="2290" w:hanging="360"/>
      </w:pPr>
      <w:rPr>
        <w:rFonts w:ascii="Courier New" w:hAnsi="Courier New" w:cs="Courier New" w:hint="default"/>
      </w:rPr>
    </w:lvl>
    <w:lvl w:ilvl="2" w:tplc="04250005" w:tentative="1">
      <w:start w:val="1"/>
      <w:numFmt w:val="bullet"/>
      <w:lvlText w:val=""/>
      <w:lvlJc w:val="left"/>
      <w:pPr>
        <w:ind w:left="3010" w:hanging="360"/>
      </w:pPr>
      <w:rPr>
        <w:rFonts w:ascii="Wingdings" w:hAnsi="Wingdings" w:hint="default"/>
      </w:rPr>
    </w:lvl>
    <w:lvl w:ilvl="3" w:tplc="04250001" w:tentative="1">
      <w:start w:val="1"/>
      <w:numFmt w:val="bullet"/>
      <w:lvlText w:val=""/>
      <w:lvlJc w:val="left"/>
      <w:pPr>
        <w:ind w:left="3730" w:hanging="360"/>
      </w:pPr>
      <w:rPr>
        <w:rFonts w:ascii="Symbol" w:hAnsi="Symbol" w:hint="default"/>
      </w:rPr>
    </w:lvl>
    <w:lvl w:ilvl="4" w:tplc="04250003" w:tentative="1">
      <w:start w:val="1"/>
      <w:numFmt w:val="bullet"/>
      <w:lvlText w:val="o"/>
      <w:lvlJc w:val="left"/>
      <w:pPr>
        <w:ind w:left="4450" w:hanging="360"/>
      </w:pPr>
      <w:rPr>
        <w:rFonts w:ascii="Courier New" w:hAnsi="Courier New" w:cs="Courier New" w:hint="default"/>
      </w:rPr>
    </w:lvl>
    <w:lvl w:ilvl="5" w:tplc="04250005" w:tentative="1">
      <w:start w:val="1"/>
      <w:numFmt w:val="bullet"/>
      <w:lvlText w:val=""/>
      <w:lvlJc w:val="left"/>
      <w:pPr>
        <w:ind w:left="5170" w:hanging="360"/>
      </w:pPr>
      <w:rPr>
        <w:rFonts w:ascii="Wingdings" w:hAnsi="Wingdings" w:hint="default"/>
      </w:rPr>
    </w:lvl>
    <w:lvl w:ilvl="6" w:tplc="04250001" w:tentative="1">
      <w:start w:val="1"/>
      <w:numFmt w:val="bullet"/>
      <w:lvlText w:val=""/>
      <w:lvlJc w:val="left"/>
      <w:pPr>
        <w:ind w:left="5890" w:hanging="360"/>
      </w:pPr>
      <w:rPr>
        <w:rFonts w:ascii="Symbol" w:hAnsi="Symbol" w:hint="default"/>
      </w:rPr>
    </w:lvl>
    <w:lvl w:ilvl="7" w:tplc="04250003" w:tentative="1">
      <w:start w:val="1"/>
      <w:numFmt w:val="bullet"/>
      <w:lvlText w:val="o"/>
      <w:lvlJc w:val="left"/>
      <w:pPr>
        <w:ind w:left="6610" w:hanging="360"/>
      </w:pPr>
      <w:rPr>
        <w:rFonts w:ascii="Courier New" w:hAnsi="Courier New" w:cs="Courier New" w:hint="default"/>
      </w:rPr>
    </w:lvl>
    <w:lvl w:ilvl="8" w:tplc="04250005" w:tentative="1">
      <w:start w:val="1"/>
      <w:numFmt w:val="bullet"/>
      <w:lvlText w:val=""/>
      <w:lvlJc w:val="left"/>
      <w:pPr>
        <w:ind w:left="7330" w:hanging="360"/>
      </w:pPr>
      <w:rPr>
        <w:rFonts w:ascii="Wingdings" w:hAnsi="Wingdings" w:hint="default"/>
      </w:rPr>
    </w:lvl>
  </w:abstractNum>
  <w:abstractNum w:abstractNumId="10" w15:restartNumberingAfterBreak="0">
    <w:nsid w:val="76A20676"/>
    <w:multiLevelType w:val="hybridMultilevel"/>
    <w:tmpl w:val="144CF128"/>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C2"/>
    <w:rsid w:val="00091988"/>
    <w:rsid w:val="000A0841"/>
    <w:rsid w:val="000A74CE"/>
    <w:rsid w:val="000E242C"/>
    <w:rsid w:val="001337FF"/>
    <w:rsid w:val="00182651"/>
    <w:rsid w:val="001927EB"/>
    <w:rsid w:val="001B287A"/>
    <w:rsid w:val="001C72CF"/>
    <w:rsid w:val="00223080"/>
    <w:rsid w:val="0025401F"/>
    <w:rsid w:val="00267C45"/>
    <w:rsid w:val="00270B47"/>
    <w:rsid w:val="002D0158"/>
    <w:rsid w:val="00306534"/>
    <w:rsid w:val="00311946"/>
    <w:rsid w:val="0034773F"/>
    <w:rsid w:val="003768B1"/>
    <w:rsid w:val="00385088"/>
    <w:rsid w:val="00386C2C"/>
    <w:rsid w:val="00390587"/>
    <w:rsid w:val="003C2941"/>
    <w:rsid w:val="003C6867"/>
    <w:rsid w:val="004148CB"/>
    <w:rsid w:val="00461D97"/>
    <w:rsid w:val="004A50D1"/>
    <w:rsid w:val="004E3B37"/>
    <w:rsid w:val="00507A1A"/>
    <w:rsid w:val="0055413A"/>
    <w:rsid w:val="0055712E"/>
    <w:rsid w:val="005C1C84"/>
    <w:rsid w:val="0065201A"/>
    <w:rsid w:val="00695EEC"/>
    <w:rsid w:val="006E3D9F"/>
    <w:rsid w:val="006F207A"/>
    <w:rsid w:val="007348E4"/>
    <w:rsid w:val="007D5C8C"/>
    <w:rsid w:val="007D7B37"/>
    <w:rsid w:val="00823750"/>
    <w:rsid w:val="0082434D"/>
    <w:rsid w:val="00850171"/>
    <w:rsid w:val="008526FE"/>
    <w:rsid w:val="00854FD5"/>
    <w:rsid w:val="008A5985"/>
    <w:rsid w:val="008C0590"/>
    <w:rsid w:val="008C079F"/>
    <w:rsid w:val="008E2628"/>
    <w:rsid w:val="00905178"/>
    <w:rsid w:val="009929E6"/>
    <w:rsid w:val="009936C4"/>
    <w:rsid w:val="0099551A"/>
    <w:rsid w:val="00A111EF"/>
    <w:rsid w:val="00A11513"/>
    <w:rsid w:val="00A461A4"/>
    <w:rsid w:val="00A72DD3"/>
    <w:rsid w:val="00A95A85"/>
    <w:rsid w:val="00AF4067"/>
    <w:rsid w:val="00B3144D"/>
    <w:rsid w:val="00B5506B"/>
    <w:rsid w:val="00B73560"/>
    <w:rsid w:val="00C27F7F"/>
    <w:rsid w:val="00C41A05"/>
    <w:rsid w:val="00C61DCA"/>
    <w:rsid w:val="00C922CD"/>
    <w:rsid w:val="00CB7EC7"/>
    <w:rsid w:val="00CD2D6B"/>
    <w:rsid w:val="00D01C67"/>
    <w:rsid w:val="00D72CC4"/>
    <w:rsid w:val="00DA5C85"/>
    <w:rsid w:val="00E7557B"/>
    <w:rsid w:val="00E96348"/>
    <w:rsid w:val="00F6514B"/>
    <w:rsid w:val="00F856D5"/>
    <w:rsid w:val="00FB15C2"/>
    <w:rsid w:val="084C6E16"/>
    <w:rsid w:val="34D5B5C8"/>
    <w:rsid w:val="7CD9E77F"/>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A68E3C"/>
  <w15:chartTrackingRefBased/>
  <w15:docId w15:val="{22DD0687-6511-49E8-88B5-F838F067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Heading"/>
    <w:next w:val="BodyText"/>
    <w:qFormat/>
    <w:pPr>
      <w:numPr>
        <w:numId w:val="3"/>
      </w:numPr>
      <w:outlineLvl w:val="0"/>
    </w:pPr>
    <w:rPr>
      <w:rFonts w:ascii="Liberation Serif" w:eastAsia="SimSun" w:hAnsi="Liberation Serif"/>
      <w:b/>
      <w:bCs/>
      <w:sz w:val="48"/>
      <w:szCs w:val="48"/>
    </w:rPr>
  </w:style>
  <w:style w:type="paragraph" w:styleId="Heading2">
    <w:name w:val="heading 2"/>
    <w:basedOn w:val="Heading"/>
    <w:next w:val="BodyText"/>
    <w:qFormat/>
    <w:pPr>
      <w:numPr>
        <w:ilvl w:val="1"/>
        <w:numId w:val="3"/>
      </w:numPr>
      <w:spacing w:before="200"/>
      <w:outlineLvl w:val="1"/>
    </w:pPr>
    <w:rPr>
      <w:rFonts w:ascii="Liberation Serif" w:eastAsia="SimSun" w:hAnsi="Liberation Serif"/>
      <w:b/>
      <w:bCs/>
      <w:sz w:val="36"/>
      <w:szCs w:val="36"/>
    </w:rPr>
  </w:style>
  <w:style w:type="paragraph" w:styleId="Heading3">
    <w:name w:val="heading 3"/>
    <w:basedOn w:val="Heading"/>
    <w:next w:val="BodyText"/>
    <w:qFormat/>
    <w:pPr>
      <w:numPr>
        <w:ilvl w:val="2"/>
        <w:numId w:val="3"/>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Georgia" w:hAnsi="Georgia" w:cs="Georgia"/>
      <w:b/>
      <w:sz w:val="20"/>
      <w:szCs w:val="20"/>
    </w:rPr>
  </w:style>
  <w:style w:type="character" w:customStyle="1" w:styleId="WW8Num4z0">
    <w:name w:val="WW8Num4z0"/>
    <w:rPr>
      <w:rFonts w:ascii="Symbol" w:hAnsi="Symbol" w:cs="Symbol"/>
      <w:sz w:val="20"/>
      <w:szCs w:val="20"/>
    </w:rPr>
  </w:style>
  <w:style w:type="character" w:customStyle="1" w:styleId="WW8Num5z0">
    <w:name w:val="WW8Num5z0"/>
    <w:rPr>
      <w:rFonts w:ascii="Symbol" w:hAnsi="Symbol" w:cs="Symbol" w:hint="default"/>
    </w:rPr>
  </w:style>
  <w:style w:type="character" w:customStyle="1" w:styleId="WW8Num6z0">
    <w:name w:val="WW8Num6z0"/>
    <w:rPr>
      <w:rFonts w:ascii="Wingdings" w:hAnsi="Wingdings" w:cs="Wingdings"/>
      <w:color w:val="000000"/>
      <w:sz w:val="20"/>
      <w:szCs w:val="20"/>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Georgia" w:hAnsi="Georgia" w:cs="Georgia" w:hint="default"/>
      <w:sz w:val="20"/>
    </w:rPr>
  </w:style>
  <w:style w:type="character" w:customStyle="1" w:styleId="WW8Num5z1">
    <w:name w:val="WW8Num5z1"/>
    <w:rPr>
      <w:rFonts w:ascii="Courier New" w:hAnsi="Courier New" w:cs="Courier New" w:hint="default"/>
      <w:color w:val="000000"/>
      <w:sz w:val="20"/>
      <w:szCs w:val="20"/>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color w:val="00000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Georgia" w:hAnsi="Georgia" w:cs="Georgia" w:hint="default"/>
      <w:sz w:val="20"/>
    </w:rPr>
  </w:style>
  <w:style w:type="character" w:customStyle="1" w:styleId="WW8Num9z1">
    <w:name w:val="WW8Num9z1"/>
    <w:rPr>
      <w:rFonts w:ascii="Symbol" w:hAnsi="Symbol" w:cs="Symbol"/>
    </w:rPr>
  </w:style>
  <w:style w:type="character" w:customStyle="1" w:styleId="WW8Num10z0">
    <w:name w:val="WW8Num10z0"/>
    <w:rPr>
      <w:rFonts w:ascii="Georgia" w:eastAsia="Times New Roman" w:hAnsi="Georgia" w:cs="Georgia" w:hint="default"/>
      <w:sz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Georgia" w:eastAsia="Times New Roman" w:hAnsi="Georgia" w:cs="Georgia" w:hint="default"/>
      <w:sz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DefaultParagraphFont0">
    <w:name w:val="Default Paragraph Font0"/>
  </w:style>
  <w:style w:type="character" w:customStyle="1" w:styleId="WW8Num6z1">
    <w:name w:val="WW8Num6z1"/>
    <w:rPr>
      <w:rFonts w:ascii="Courier New" w:hAnsi="Courier New" w:cs="Courier New" w:hint="default"/>
      <w:color w:val="000000"/>
      <w:sz w:val="20"/>
      <w:szCs w:val="20"/>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color w:val="000000"/>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rPr>
      <w:rFonts w:ascii="Symbol" w:hAnsi="Symbol" w:cs="Symbol" w:hint="defaul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eorgia" w:eastAsia="Times New Roman" w:hAnsi="Georgia" w:cs="Times New Roman" w:hint="default"/>
      <w:color w:val="auto"/>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Georgia" w:eastAsia="Times New Roman" w:hAnsi="Georgia" w:cs="Times New Roman"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sz w:val="20"/>
      <w:szCs w:val="20"/>
    </w:rPr>
  </w:style>
  <w:style w:type="character" w:customStyle="1" w:styleId="WW8Num15z1">
    <w:name w:val="WW8Num15z1"/>
    <w:rPr>
      <w:rFonts w:ascii="Georgia" w:eastAsia="Times New Roman" w:hAnsi="Georgia"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Symbol" w:hAnsi="Symbol" w:cs="Symbol" w:hint="default"/>
      <w:color w:val="000000"/>
      <w:sz w:val="20"/>
      <w:szCs w:val="20"/>
    </w:rPr>
  </w:style>
  <w:style w:type="character" w:customStyle="1" w:styleId="WW8Num16z1">
    <w:name w:val="WW8Num16z1"/>
    <w:rPr>
      <w:rFonts w:ascii="Courier New" w:hAnsi="Courier New" w:cs="Courier New" w:hint="default"/>
      <w:color w:val="000000"/>
      <w:sz w:val="20"/>
      <w:szCs w:val="20"/>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color w:val="000000"/>
      <w:sz w:val="20"/>
      <w:szCs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Georgia" w:eastAsia="Times New Roman" w:hAnsi="Georgia" w:cs="Times New Roman"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Georgia" w:eastAsia="Times New Roman" w:hAnsi="Georgia" w:cs="Times New Roman" w:hint="default"/>
      <w:color w:val="auto"/>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DefaultParagraphFont">
    <w:name w:val="WW-Default Paragraph Fon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DefaultParagraphFont1">
    <w:name w:val="WW-Default Paragraph Font1"/>
  </w:style>
  <w:style w:type="character" w:styleId="Hyperlink">
    <w:name w:val="Hyperlink"/>
    <w:rPr>
      <w:color w:val="0000FF"/>
      <w:u w:val="single"/>
    </w:rPr>
  </w:style>
  <w:style w:type="character" w:customStyle="1" w:styleId="tekst4">
    <w:name w:val="tekst4"/>
    <w:basedOn w:val="WW-DefaultParagraphFont1"/>
  </w:style>
  <w:style w:type="character" w:styleId="Strong">
    <w:name w:val="Strong"/>
    <w:qFormat/>
    <w:rPr>
      <w:b/>
      <w:bCs/>
    </w:rPr>
  </w:style>
  <w:style w:type="character" w:customStyle="1" w:styleId="vaikepealkiri">
    <w:name w:val="vaike_pealkiri"/>
    <w:basedOn w:val="WW-DefaultParagraphFont1"/>
  </w:style>
  <w:style w:type="character" w:customStyle="1" w:styleId="HTMLPreformattedChar">
    <w:name w:val="HTML Preformatted Char"/>
    <w:rPr>
      <w:rFonts w:ascii="Courier New" w:eastAsia="Times New Roman" w:hAnsi="Courier New" w:cs="Courier New"/>
      <w:sz w:val="20"/>
      <w:szCs w:val="20"/>
      <w:lang w:val="en-US"/>
    </w:rPr>
  </w:style>
  <w:style w:type="character" w:styleId="FollowedHyperlink">
    <w:name w:val="FollowedHyperlink"/>
    <w:rPr>
      <w:color w:val="800080"/>
      <w:u w:val="single"/>
    </w:rPr>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FooterChar">
    <w:name w:val="Footer Char"/>
    <w:rPr>
      <w:rFonts w:ascii="Times New Roman" w:eastAsia="Times New Roman" w:hAnsi="Times New Roman" w:cs="Times New Roman"/>
      <w:sz w:val="24"/>
      <w:szCs w:val="24"/>
      <w:lang w:val="en-US"/>
    </w:rPr>
  </w:style>
  <w:style w:type="character" w:customStyle="1" w:styleId="BalloonTextChar">
    <w:name w:val="Balloon Text Char"/>
    <w:rPr>
      <w:rFonts w:ascii="Tahoma" w:eastAsia="Times New Roman" w:hAnsi="Tahoma" w:cs="Tahoma"/>
      <w:sz w:val="16"/>
      <w:szCs w:val="16"/>
      <w:lang w:val="en-US"/>
    </w:rPr>
  </w:style>
  <w:style w:type="character" w:customStyle="1" w:styleId="apple-converted-space">
    <w:name w:val="apple-converted-space"/>
  </w:style>
  <w:style w:type="character" w:customStyle="1" w:styleId="il">
    <w:name w:val="il"/>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kuul">
    <w:name w:val="kuul"/>
    <w:basedOn w:val="Normal"/>
    <w:pPr>
      <w:numPr>
        <w:numId w:val="4"/>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08"/>
    </w:pPr>
  </w:style>
  <w:style w:type="character" w:styleId="UnresolvedMention">
    <w:name w:val="Unresolved Mention"/>
    <w:uiPriority w:val="99"/>
    <w:semiHidden/>
    <w:unhideWhenUsed/>
    <w:rsid w:val="002D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a.ee/toetused/leader-meetme-raames-antav-projektitoet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igiteataja.ee/akt/129082015028" TargetMode="External"/><Relationship Id="rId12" Type="http://schemas.openxmlformats.org/officeDocument/2006/relationships/hyperlink" Target="http://www.agri.ee/leader-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k.ee/leader/taotlemine-ja-taotluste-menetlem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ria.pria.ee/login/" TargetMode="External"/><Relationship Id="rId4" Type="http://schemas.openxmlformats.org/officeDocument/2006/relationships/webSettings" Target="webSettings.xml"/><Relationship Id="rId9" Type="http://schemas.openxmlformats.org/officeDocument/2006/relationships/hyperlink" Target="https://www.pria.ee/toetused/leader-meetme-raames-antav-projektitoet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9566</Characters>
  <Application>Microsoft Office Word</Application>
  <DocSecurity>0</DocSecurity>
  <Lines>79</Lines>
  <Paragraphs>22</Paragraphs>
  <ScaleCrop>false</ScaleCrop>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cp:lastModifiedBy>Terje Aus</cp:lastModifiedBy>
  <cp:revision>59</cp:revision>
  <cp:lastPrinted>2018-11-20T19:20:00Z</cp:lastPrinted>
  <dcterms:created xsi:type="dcterms:W3CDTF">2020-11-17T10:08:00Z</dcterms:created>
  <dcterms:modified xsi:type="dcterms:W3CDTF">2021-11-24T08:27:00Z</dcterms:modified>
</cp:coreProperties>
</file>