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u w:val="single"/>
        </w:rPr>
      </w:pPr>
      <w:r>
        <w:rPr>
          <w:rFonts w:ascii="Times New Roman" w:hAnsi="Times New Roman"/>
          <w:b/>
          <w:u w:val="single"/>
        </w:rPr>
        <w:t>Lühike info CLLD multifondide lähenemise kohta</w:t>
      </w:r>
    </w:p>
    <w:p>
      <w:pPr>
        <w:pStyle w:val="Normal"/>
        <w:rPr>
          <w:rFonts w:ascii="Times New Roman" w:hAnsi="Times New Roman"/>
        </w:rPr>
      </w:pPr>
      <w:r>
        <w:rPr>
          <w:rFonts w:ascii="Times New Roman" w:hAnsi="Times New Roman"/>
        </w:rPr>
        <w:t>Koostas: Kristiina Tammets, Tartumaa Arendusseltsi tegevjuht, Euroopa LEADER Ühenduse asepresident</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rPr>
        <w:t>CLLD</w:t>
      </w:r>
      <w:r>
        <w:rPr>
          <w:rFonts w:ascii="Times New Roman" w:hAnsi="Times New Roman"/>
        </w:rPr>
        <w:t xml:space="preserve"> ehk Community Led Local Development (Kogukonna Juhitud Kohalik Areng) on 26 aastat vana LEADER meetodi uuendus. Põhiline erinevus on seotud senisest enam </w:t>
      </w:r>
      <w:r>
        <w:rPr>
          <w:rFonts w:ascii="Times New Roman" w:hAnsi="Times New Roman"/>
          <w:b/>
        </w:rPr>
        <w:t xml:space="preserve">integreeritud lähenemise </w:t>
      </w:r>
      <w:r>
        <w:rPr>
          <w:rFonts w:ascii="Times New Roman" w:hAnsi="Times New Roman"/>
        </w:rPr>
        <w:t>(valdkondade- ja sektoriteülene lähenemine)</w:t>
      </w:r>
      <w:r>
        <w:rPr>
          <w:rFonts w:ascii="Times New Roman" w:hAnsi="Times New Roman"/>
          <w:b/>
        </w:rPr>
        <w:t xml:space="preserve"> ja mitmekülgsema rahastamismudeliga </w:t>
      </w:r>
      <w:r>
        <w:rPr>
          <w:rFonts w:ascii="Times New Roman" w:hAnsi="Times New Roman"/>
        </w:rPr>
        <w:t xml:space="preserve">(multifondidel põhinev rahastamine). Kui siiani on toimunud maapiirkondades LEADER lähenemisel põhinev vahendite jagamine projektitoetusena vaid Euroopa Põllumajandusfondi ja Kalandusfondi vahendite toel, siis nüüd on tegevusgruppidele avanenud vahendid ka </w:t>
      </w:r>
      <w:r>
        <w:rPr>
          <w:rFonts w:ascii="Times New Roman" w:hAnsi="Times New Roman"/>
          <w:b/>
        </w:rPr>
        <w:t>Euroopa Regionaalarengu- ja Sotsiaalfondist</w:t>
      </w:r>
      <w:r>
        <w:rPr>
          <w:rFonts w:ascii="Times New Roman" w:hAnsi="Times New Roman"/>
        </w:rPr>
        <w:t>. Sellisel viisil erinevate fondide rakendamine maapiirkondades loob paremad võimalused tagada arendustegevuse sidusus ja aitab vältida varasemalt piiratud tingimustest tulenenud kitsaskohti, kus teatud valdkonnad ning kohalikud vajadused (näiteks sotsiaalteenused, haridusvaldkond, lairibainternet, alternatiivenergeetika, sidususe loomine linnadega, jt)  jäid tähelepanu ja rahastuseta. Tänu mitmekülgsemale rahastamismehhanismile saavad LEADER tegevusgrupid ja kalanduse algatusrühmad kohalike arengustrateegiate kaudu senisest kompleksemalt läheneda maapiirkonna arengu väljakutsetele. Sellel programmperioodil (2014–2020) on kogukonna juhitud kohaliku arengu metoodikat laiendatud ka linnadesse.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Selleks programmperioodiks 2014-2020 on nö multifondid lähenemisega liitunud juba </w:t>
      </w:r>
      <w:r>
        <w:rPr>
          <w:rFonts w:ascii="Times New Roman" w:hAnsi="Times New Roman"/>
          <w:b/>
        </w:rPr>
        <w:t xml:space="preserve">20 liikmesriiki </w:t>
      </w:r>
      <w:r>
        <w:rPr>
          <w:rFonts w:ascii="Times New Roman" w:hAnsi="Times New Roman"/>
        </w:rPr>
        <w:t xml:space="preserve">(Austria, Tšehhi, Saksamaa, Taani, Hispaania, Soome, Rootsi, Prantsusmaa, Kreeka, Ungari, Itaalia, Läti, Leedu, Poola, Portugal, Sloveenia, Slovakkia, Suurbritannia, Bulgaaria, Rumeenia). </w:t>
      </w:r>
      <w:r>
        <w:rPr>
          <w:rFonts w:ascii="Times New Roman" w:hAnsi="Times New Roman"/>
          <w:b/>
        </w:rPr>
        <w:t>8 riiki</w:t>
      </w:r>
      <w:r>
        <w:rPr>
          <w:rFonts w:ascii="Times New Roman" w:hAnsi="Times New Roman"/>
        </w:rPr>
        <w:t xml:space="preserve"> (Belgia, Küpros, Eesti, Horvaatia, Iirimaa, Malta, Luxemburg, Holland) otsustasid sel perioodil multifondid lähenemist mitte kasutada, </w:t>
      </w:r>
      <w:r>
        <w:rPr>
          <w:rFonts w:ascii="Times New Roman" w:hAnsi="Times New Roman"/>
          <w:b/>
        </w:rPr>
        <w:t>nende hulgas Eesti</w:t>
      </w:r>
      <w:r>
        <w:rPr>
          <w:rFonts w:ascii="Times New Roman" w:hAnsi="Times New Roman"/>
        </w:rPr>
        <w:t xml:space="preserve">. Teiste fondide (Sotsiaal- ja Regionaalarengufond) panus LEADER meetodi kaudu maapiirkondade arengusse on sel perioodil juba ligikaudu 20%, osades riikides on tänu edukatele läbirääkimistele saavutatud teiste fondide kaasatus ligi 50% (Tšehhi, Portugal, Ungari, Slovakkia), mis kokkuvõttes tähendab mitmekülgsemaid võimalusi maapiirkondade arendamiseks. Multifondid lähenemise kasutusele võtmine eeldab </w:t>
      </w:r>
      <w:r>
        <w:rPr>
          <w:rFonts w:ascii="Times New Roman" w:hAnsi="Times New Roman"/>
          <w:b/>
        </w:rPr>
        <w:t>poliitilist tahet riiklikul tasandil, kogukonna juhitud kohaliku arengu väärtustamist ja selle tugevuste mõistmist ning head koostööd erinevate ministeeriumite vahel</w:t>
      </w:r>
      <w:r>
        <w:rPr>
          <w:rFonts w:ascii="Times New Roman" w:hAnsi="Times New Roman"/>
        </w:rPr>
        <w:t xml:space="preserve">. Euroopa Komisjoni ametlik seisukoht on lõhkuda piirid erinevate fondide vahel ning seeläbi </w:t>
      </w:r>
      <w:r>
        <w:rPr>
          <w:rFonts w:ascii="Times New Roman" w:hAnsi="Times New Roman"/>
          <w:b/>
        </w:rPr>
        <w:t>suurendada sünergiat, efektiivsust ja sidusust kohalikul kui ka regionaalsel tasandil</w: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b/>
          <w:b/>
          <w:u w:val="single"/>
        </w:rPr>
      </w:pPr>
      <w:r>
        <w:rPr>
          <w:rFonts w:ascii="Times New Roman" w:hAnsi="Times New Roman"/>
          <w:b/>
          <w:u w:val="single"/>
        </w:rPr>
        <w:t>Multifondide rakendamise peamised tugevused:</w:t>
      </w:r>
    </w:p>
    <w:p>
      <w:pPr>
        <w:pStyle w:val="Normal"/>
        <w:jc w:val="both"/>
        <w:rPr>
          <w:rFonts w:ascii="Times New Roman" w:hAnsi="Times New Roman"/>
        </w:rPr>
      </w:pPr>
      <w:r>
        <w:rPr>
          <w:rFonts w:ascii="Times New Roman" w:hAnsi="Times New Roman"/>
        </w:rPr>
        <w:t xml:space="preserve">1. Integreeritud kohalik areng </w:t>
      </w:r>
      <w:r>
        <w:rPr>
          <w:rFonts w:ascii="Times New Roman" w:hAnsi="Times New Roman"/>
          <w:b/>
        </w:rPr>
        <w:t>mõjutab oluliselt kohalikku majandust ja töökohtade loomist eeskätt väljaspool primaarsektorit</w:t>
      </w:r>
      <w:r>
        <w:rPr>
          <w:rFonts w:ascii="Times New Roman" w:hAnsi="Times New Roman"/>
        </w:rPr>
        <w:t xml:space="preserve">. Kohalikus arengus suureneb järjest rohelise majanduse, sotsiaalse kaasamise, vaesuse vähendamise, rändeküsimuste, piirkondlike klastrite, maa-, linna- ja rannikupiirkondade vahelise koostöö, arukate lahenduste ja IT-tehnoloogiate osatähtsus. Kogukonna juhitud kohalik areng loob kõigile eri liiki territooriumidele (maa-, linna- ja rannikupiirkonnad) ja kogukondadele nende väljakutsete lahendamiseks </w:t>
      </w:r>
      <w:r>
        <w:rPr>
          <w:rFonts w:ascii="Times New Roman" w:hAnsi="Times New Roman"/>
          <w:b/>
        </w:rPr>
        <w:t>koostöö tegemise võimalusi</w:t>
      </w:r>
      <w:r>
        <w:rPr>
          <w:rFonts w:ascii="Times New Roman" w:hAnsi="Times New Roman"/>
        </w:rPr>
        <w:t xml:space="preserve">. Multifondide kasutamisel põhinev lähenemisviis on hea mehhanism </w:t>
      </w:r>
      <w:r>
        <w:rPr>
          <w:rFonts w:ascii="Times New Roman" w:hAnsi="Times New Roman"/>
          <w:b/>
        </w:rPr>
        <w:t>nutikate külade kontseptsiooni</w:t>
      </w:r>
      <w:r>
        <w:rPr>
          <w:rFonts w:ascii="Times New Roman" w:hAnsi="Times New Roman"/>
        </w:rPr>
        <w:t xml:space="preserve"> toetamiseks kogukondade ja ettevõtete suutlikkuse suurendamise, investeeringute, innovatsiooni toetamise ja võrgustike loomise kaudu.</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2. Integreeritud kohalik areng </w:t>
      </w:r>
      <w:r>
        <w:rPr>
          <w:rFonts w:ascii="Times New Roman" w:hAnsi="Times New Roman"/>
          <w:b/>
        </w:rPr>
        <w:t>mõjutab väga soodsalt sotsiaalset sidusust ning kaasatust eri sidusrühmade</w:t>
      </w:r>
      <w:r>
        <w:rPr>
          <w:rFonts w:ascii="Times New Roman" w:hAnsi="Times New Roman"/>
        </w:rPr>
        <w:t xml:space="preserve"> (erinevad osalejad, vanuserühmad, sood) </w:t>
      </w:r>
      <w:r>
        <w:rPr>
          <w:rFonts w:ascii="Times New Roman" w:hAnsi="Times New Roman"/>
          <w:b/>
        </w:rPr>
        <w:t>kaasamise ja osalemise kaudu</w:t>
      </w:r>
      <w:r>
        <w:rPr>
          <w:rFonts w:ascii="Times New Roman" w:hAnsi="Times New Roman"/>
        </w:rPr>
        <w:t xml:space="preserve">. Kogukonna juhitud kohaliku arengu üks </w:t>
      </w:r>
      <w:r>
        <w:rPr>
          <w:rFonts w:ascii="Times New Roman" w:hAnsi="Times New Roman"/>
          <w:b/>
        </w:rPr>
        <w:t>suurimaid eeliseid on kohalike osalejate koolitamine, kaasamine ja nende suutlikkuse suurendamine</w:t>
      </w:r>
      <w:r>
        <w:rPr>
          <w:rFonts w:ascii="Times New Roman" w:hAnsi="Times New Roman"/>
        </w:rPr>
        <w:t xml:space="preserve">. Integreeritud kohalik areng on hea viis </w:t>
      </w:r>
      <w:r>
        <w:rPr>
          <w:rFonts w:ascii="Times New Roman" w:hAnsi="Times New Roman"/>
          <w:b/>
        </w:rPr>
        <w:t>erinevate sidusrühmade vahel seoste ja koostoime loomiseks</w:t>
      </w:r>
      <w:r>
        <w:rPr>
          <w:rFonts w:ascii="Times New Roman" w:hAnsi="Times New Roman"/>
        </w:rPr>
        <w:t xml:space="preserve">. Maa-, linna- ja rannikupiirkondade vahelised sidemed tähendavad, et osalejad saavad </w:t>
      </w:r>
      <w:r>
        <w:rPr>
          <w:rFonts w:ascii="Times New Roman" w:hAnsi="Times New Roman"/>
          <w:b/>
        </w:rPr>
        <w:t>üksteiselt õppida ja leida lahendusi olulistele probleemidele kaasavamal viisil</w:t>
      </w:r>
      <w:r>
        <w:rPr>
          <w:rFonts w:ascii="Times New Roman" w:hAnsi="Times New Roman"/>
        </w:rPr>
        <w:t xml:space="preserve">. </w:t>
      </w:r>
      <w:r>
        <w:rPr>
          <w:rFonts w:ascii="Times New Roman" w:hAnsi="Times New Roman"/>
          <w:b/>
        </w:rPr>
        <w:t>Pidev koostöö, võrgustike loomine ja koolitus edendavad head valitsemistava</w:t>
      </w: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3. ELi ühtekuuluvuspoliitika eesmärk on saavutada </w:t>
      </w:r>
      <w:r>
        <w:rPr>
          <w:rFonts w:ascii="Times New Roman" w:hAnsi="Times New Roman"/>
          <w:b/>
        </w:rPr>
        <w:t>territoriaalne ühtekuuluvus</w:t>
      </w:r>
      <w:r>
        <w:rPr>
          <w:rFonts w:ascii="Times New Roman" w:hAnsi="Times New Roman"/>
        </w:rPr>
        <w:t xml:space="preserve">, mis on ka kogukonna juhitud kohaliku arengu lähenemisviisi eesmärk. Kogukonna juhitud kohalik areng </w:t>
      </w:r>
      <w:r>
        <w:rPr>
          <w:rFonts w:ascii="Times New Roman" w:hAnsi="Times New Roman"/>
          <w:b/>
        </w:rPr>
        <w:t>hõlmab igat liiki territooriume</w:t>
      </w:r>
      <w:r>
        <w:rPr>
          <w:rFonts w:ascii="Times New Roman" w:hAnsi="Times New Roman"/>
        </w:rPr>
        <w:t xml:space="preserve"> (maa-, linna- ja rannikupiirkonnad), </w:t>
      </w:r>
      <w:r>
        <w:rPr>
          <w:rFonts w:ascii="Times New Roman" w:hAnsi="Times New Roman"/>
          <w:b/>
        </w:rPr>
        <w:t>erinevaid kogukonnavajadusi</w:t>
      </w:r>
      <w:r>
        <w:rPr>
          <w:rFonts w:ascii="Times New Roman" w:hAnsi="Times New Roman"/>
        </w:rPr>
        <w:t xml:space="preserve"> (sotsiaalsed, kultuurilised, keskkonna- ja majanduslikud vajadused) ning </w:t>
      </w:r>
      <w:r>
        <w:rPr>
          <w:rFonts w:ascii="Times New Roman" w:hAnsi="Times New Roman"/>
          <w:b/>
        </w:rPr>
        <w:t>mitmekülgset rahastamismehhanismi</w:t>
      </w:r>
      <w:r>
        <w:rPr>
          <w:rFonts w:ascii="Times New Roman" w:hAnsi="Times New Roman"/>
        </w:rPr>
        <w:t xml:space="preserve"> (kaasatud on neli Euroopa struktuurifondi). Kogukonna juhitud kohaliku arengu võimaldamine igat liiki territooriumil aitab luua </w:t>
      </w:r>
      <w:r>
        <w:rPr>
          <w:rFonts w:ascii="Times New Roman" w:hAnsi="Times New Roman"/>
          <w:b/>
        </w:rPr>
        <w:t>ühtekuuluvust maa-, linnalähedaste, linnapiirkondade ja rannikualade vahel, et ületada või peatada ääremaastumist</w:t>
      </w:r>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b/>
          <w:b/>
          <w:u w:val="single"/>
        </w:rPr>
      </w:pPr>
      <w:r>
        <w:rPr>
          <w:rFonts w:ascii="Times New Roman" w:hAnsi="Times New Roman"/>
          <w:b/>
          <w:u w:val="single"/>
        </w:rPr>
        <w:t>Olulisemad dokumendid eesti keeles:</w:t>
      </w:r>
    </w:p>
    <w:p>
      <w:pPr>
        <w:pStyle w:val="Normal"/>
        <w:rPr/>
      </w:pPr>
      <w:r>
        <w:rPr>
          <w:rFonts w:ascii="Times New Roman" w:hAnsi="Times New Roman"/>
        </w:rPr>
        <w:t xml:space="preserve">Eesti Euroopa Liidu Nõukogu eesistumise ajal küsitud arvamus Euroopa Majandus- ja Sotsiaalkomiteelt CLLD rakendamise kohta </w:t>
      </w:r>
      <w:hyperlink r:id="rId2">
        <w:r>
          <w:rPr>
            <w:rStyle w:val="InternetLink"/>
            <w:rFonts w:ascii="Times New Roman" w:hAnsi="Times New Roman"/>
          </w:rPr>
          <w:t>https://www.eesc.europa.eu/en/our-work/opinions-information-reports/opinions/advantages-community-led-local-development-clld-approach</w:t>
        </w:r>
      </w:hyperlink>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Eesti Külade Maapäeva Manifest </w:t>
      </w:r>
      <w:hyperlink r:id="rId3">
        <w:r>
          <w:rPr>
            <w:rStyle w:val="InternetLink"/>
            <w:rFonts w:ascii="Times New Roman" w:hAnsi="Times New Roman"/>
          </w:rPr>
          <w:t>https://kodukant.ee/maapaev/maapaev/maapaev-2017/eesti-kulade-xii-maapaeva-manifest/</w:t>
        </w:r>
      </w:hyperlink>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Tartu deklaratsioon LEADER/CLLD rakendamiseks 2021-2027 </w:t>
      </w:r>
      <w:hyperlink r:id="rId4">
        <w:r>
          <w:rPr>
            <w:rStyle w:val="InternetLink"/>
            <w:rFonts w:ascii="Times New Roman" w:hAnsi="Times New Roman"/>
          </w:rPr>
          <w:t>http://media.voog.com/0000/0041/5573/files/EST_elard-decl-2017-est-14-02.pdf</w:t>
        </w:r>
      </w:hyperlink>
    </w:p>
    <w:p>
      <w:pPr>
        <w:pStyle w:val="Normal"/>
        <w:rPr>
          <w:rFonts w:ascii="Times New Roman" w:hAnsi="Times New Roman"/>
        </w:rPr>
      </w:pPr>
      <w:r>
        <w:rPr>
          <w:rFonts w:ascii="Times New Roman" w:hAnsi="Times New Roman"/>
        </w:rPr>
      </w:r>
    </w:p>
    <w:p>
      <w:pPr>
        <w:pStyle w:val="Normal"/>
        <w:rPr>
          <w:rFonts w:ascii="Times New Roman" w:hAnsi="Times New Roman"/>
          <w:b/>
          <w:b/>
          <w:u w:val="single"/>
        </w:rPr>
      </w:pPr>
      <w:r>
        <w:rPr>
          <w:rFonts w:ascii="Times New Roman" w:hAnsi="Times New Roman"/>
          <w:b/>
          <w:u w:val="single"/>
        </w:rPr>
        <w:t>Olulisemad dokumendid inglise keeles:</w:t>
      </w:r>
    </w:p>
    <w:p>
      <w:pPr>
        <w:pStyle w:val="Normal"/>
        <w:rPr>
          <w:rFonts w:ascii="Times New Roman" w:hAnsi="Times New Roman"/>
        </w:rPr>
      </w:pPr>
      <w:r>
        <w:rPr>
          <w:rFonts w:ascii="Times New Roman" w:hAnsi="Times New Roman"/>
        </w:rPr>
        <w:t xml:space="preserve">Euroopa Komisjoni Cork 2.0 deklaratsioon, põllumajandusvolinik Phil Hogani teatis ÜPP kohta, Euroopa Majandus- ja Sotsiaalkomitee CLLD arvamus, Tartu deklaratsioon, Euroopa LEADER Ühenduse seisukohad, Euroopa Maapäeva Manifest, Euroopa Maapiirkondade Agenda, Bastadi seisukohad </w:t>
      </w:r>
    </w:p>
    <w:p>
      <w:pPr>
        <w:pStyle w:val="Normal"/>
        <w:rPr/>
      </w:pPr>
      <w:r>
        <w:rPr>
          <w:rFonts w:ascii="Times New Roman" w:hAnsi="Times New Roman"/>
        </w:rPr>
        <w:t xml:space="preserve">on kõik kättesaadavad sellelt lingilt </w:t>
      </w:r>
      <w:hyperlink r:id="rId5">
        <w:r>
          <w:rPr>
            <w:rStyle w:val="InternetLink"/>
            <w:rFonts w:ascii="Times New Roman" w:hAnsi="Times New Roman"/>
          </w:rPr>
          <w:t>http://www.elard.eu/leader-clld/positions</w:t>
        </w:r>
      </w:hyperlink>
    </w:p>
    <w:p>
      <w:pPr>
        <w:pStyle w:val="Normal"/>
        <w:rPr>
          <w:rFonts w:ascii="Times New Roman" w:hAnsi="Times New Roman"/>
        </w:rPr>
      </w:pPr>
      <w:r>
        <w:rPr>
          <w:rFonts w:ascii="Times New Roman" w:hAnsi="Times New Roman"/>
        </w:rPr>
      </w:r>
    </w:p>
    <w:p>
      <w:pPr>
        <w:pStyle w:val="Normal"/>
        <w:pBdr/>
        <w:rPr/>
      </w:pPr>
      <w:r>
        <w:rPr/>
      </w:r>
    </w:p>
    <w:sectPr>
      <w:footerReference w:type="default" r:id="rId6"/>
      <w:type w:val="nextPage"/>
      <w:pgSz w:w="11906" w:h="16838"/>
      <w:pgMar w:left="1800" w:right="1800" w:header="0" w:top="1440" w:footer="708"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mbria">
    <w:charset w:val="01"/>
    <w:family w:val="roman"/>
    <w:pitch w:val="default"/>
  </w:font>
  <w:font w:name="Liberation Sans">
    <w:altName w:val="Arial"/>
    <w:charset w:val="ba"/>
    <w:family w:val="swiss"/>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923925"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923925"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0</w:t>
                          </w:r>
                          <w:r>
                            <w:fldChar w:fldCharType="end"/>
                          </w:r>
                        </w:p>
                      </w:txbxContent>
                    </wps:txbx>
                    <wps:bodyPr anchor="t" lIns="0" tIns="0" rIns="0" bIns="0">
                      <a:spAutoFit/>
                    </wps:bodyPr>
                  </wps:wsp>
                </a:graphicData>
              </a:graphic>
            </wp:anchor>
          </w:drawing>
        </mc:Choice>
        <mc:Fallback>
          <w:pict>
            <v:rect fillcolor="#FFFFFF" style="position:absolute;rotation:0;width:72.75pt;height:14.05pt;mso-wrap-distance-left:0pt;mso-wrap-distance-right:0pt;mso-wrap-distance-top:0pt;mso-wrap-distance-bottom:0pt;margin-top:0.05pt;mso-position-vertical-relative:text;margin-left:342.55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0</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50"/>
  <w:embedSystemFonts/>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23ef"/>
    <w:pPr>
      <w:widowControl/>
      <w:bidi w:val="0"/>
      <w:jc w:val="left"/>
    </w:pPr>
    <w:rPr>
      <w:rFonts w:ascii="Cambria" w:hAnsi="Cambria" w:eastAsia="Cambria" w:cs="" w:asciiTheme="minorHAnsi" w:cstheme="minorBidi" w:eastAsiaTheme="minorHAnsi" w:hAnsiTheme="minorHAnsi"/>
      <w:color w:val="auto"/>
      <w:sz w:val="24"/>
      <w:szCs w:val="24"/>
      <w:lang w:val="et-EE" w:eastAsia="en-US" w:bidi="ar-SA"/>
    </w:rPr>
  </w:style>
  <w:style w:type="character" w:styleId="DefaultParagraphFont" w:default="1">
    <w:name w:val="Default Paragraph Font"/>
    <w:semiHidden/>
    <w:unhideWhenUsed/>
    <w:qFormat/>
    <w:rPr/>
  </w:style>
  <w:style w:type="character" w:styleId="FooterChar" w:customStyle="1">
    <w:name w:val="Footer Char"/>
    <w:basedOn w:val="DefaultParagraphFont"/>
    <w:link w:val="Footer"/>
    <w:uiPriority w:val="99"/>
    <w:semiHidden/>
    <w:qFormat/>
    <w:rsid w:val="00ed3a1a"/>
    <w:rPr>
      <w:lang w:val="et-EE"/>
    </w:rPr>
  </w:style>
  <w:style w:type="character" w:styleId="Pagenumber">
    <w:name w:val="page number"/>
    <w:basedOn w:val="DefaultParagraphFont"/>
    <w:uiPriority w:val="99"/>
    <w:semiHidden/>
    <w:unhideWhenUsed/>
    <w:qFormat/>
    <w:rsid w:val="00ed3a1a"/>
    <w:rPr/>
  </w:style>
  <w:style w:type="character" w:styleId="InternetLink">
    <w:name w:val="Internet Link"/>
    <w:basedOn w:val="DefaultParagraphFont"/>
    <w:uiPriority w:val="99"/>
    <w:semiHidden/>
    <w:unhideWhenUsed/>
    <w:rsid w:val="00550d25"/>
    <w:rPr>
      <w:color w:val="0000FF" w:themeColor="hyperlink"/>
      <w:u w:val="single"/>
    </w:rPr>
  </w:style>
  <w:style w:type="character" w:styleId="FollowedHyperlink">
    <w:name w:val="FollowedHyperlink"/>
    <w:basedOn w:val="DefaultParagraphFont"/>
    <w:uiPriority w:val="99"/>
    <w:semiHidden/>
    <w:unhideWhenUsed/>
    <w:qFormat/>
    <w:rsid w:val="003a45bb"/>
    <w:rPr>
      <w:color w:val="800080"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Footer">
    <w:name w:val="Footer"/>
    <w:basedOn w:val="Normal"/>
    <w:link w:val="FooterChar"/>
    <w:uiPriority w:val="99"/>
    <w:semiHidden/>
    <w:unhideWhenUsed/>
    <w:rsid w:val="00ed3a1a"/>
    <w:pPr>
      <w:tabs>
        <w:tab w:val="center" w:pos="4153" w:leader="none"/>
        <w:tab w:val="right" w:pos="8306" w:leader="none"/>
      </w:tabs>
    </w:pPr>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esc.europa.eu/en/our-work/opinions-information-reports/opinions/advantages-community-led-local-development-clld-approach" TargetMode="External"/><Relationship Id="rId3" Type="http://schemas.openxmlformats.org/officeDocument/2006/relationships/hyperlink" Target="https://kodukant.ee/maapaev/maapaev/maapaev-2017/eesti-kulade-xii-maapaeva-manifest/" TargetMode="External"/><Relationship Id="rId4" Type="http://schemas.openxmlformats.org/officeDocument/2006/relationships/hyperlink" Target="http://media.voog.com/0000/0041/5573/files/EST_elard-decl-2017-est-14-02.pdf" TargetMode="External"/><Relationship Id="rId5" Type="http://schemas.openxmlformats.org/officeDocument/2006/relationships/hyperlink" Target="http://www.elard.eu/leader-clld/positions"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LibreOffice/5.2.5.1$Windows_x86 LibreOffice_project/0312e1a284a7d50ca85a365c316c7abbf20a4d22</Application>
  <Pages>2</Pages>
  <Words>591</Words>
  <Characters>5067</Characters>
  <CharactersWithSpaces>5644</CharactersWithSpaces>
  <Paragraphs>16</Paragraphs>
  <Company>Tartumaa Arendusselts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2018-04-06T06:59:00Z</dcterms:created>
  <dc:creator>Kristiina Liimand</dc:creator>
  <dc:description/>
  <dc:language>et-EE</dc:language>
  <cp:lastModifiedBy>Kristiina Liimand</cp:lastModifiedBy>
  <dcterms:modified xsi:type="dcterms:W3CDTF">2018-04-13T10:01:00Z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Tartumaa Arendusselts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